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bCs/>
          <w:color w:val="000000"/>
          <w:sz w:val="28"/>
          <w:szCs w:val="28"/>
          <w:lang w:eastAsia="ru-RU"/>
        </w:rPr>
        <w:t xml:space="preserve">В соответствии с положениями </w:t>
      </w:r>
      <w:hyperlink r:id="rId2" w:tgtFrame="https://login.consultant.ru/link/?req=doc&amp;base=LAW&amp;n=471068&amp;dst=100053">
        <w:r>
          <w:rPr>
            <w:rStyle w:val="ListLabel1"/>
            <w:rFonts w:eastAsia="Times New Roman" w:cs="Times New Roman" w:ascii="Times New Roman" w:hAnsi="Times New Roman"/>
            <w:bCs/>
            <w:color w:val="000000"/>
            <w:sz w:val="28"/>
            <w:szCs w:val="28"/>
            <w:lang w:eastAsia="ru-RU"/>
          </w:rPr>
          <w:t>статьи 7</w:t>
        </w:r>
      </w:hyperlink>
      <w:r>
        <w:rPr>
          <w:rFonts w:eastAsia="Times New Roman" w:cs="Times New Roman" w:ascii="Times New Roman" w:hAnsi="Times New Roman"/>
          <w:bCs/>
          <w:color w:val="000000"/>
          <w:sz w:val="28"/>
          <w:szCs w:val="28"/>
          <w:lang w:eastAsia="ru-RU"/>
        </w:rPr>
        <w:t xml:space="preserve"> Земельного кодекса Российской Федерации (далее – ЗК РФ)  использование земель осуществляется в строгом соответствии с их целевым назначение</w:t>
      </w:r>
      <w:r>
        <w:rPr>
          <w:rFonts w:eastAsia="Times New Roman" w:cs="Times New Roman" w:ascii="Times New Roman" w:hAnsi="Times New Roman"/>
          <w:color w:val="000000"/>
          <w:sz w:val="28"/>
          <w:szCs w:val="28"/>
          <w:lang w:eastAsia="ru-RU"/>
        </w:rPr>
        <w:t>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br/>
        <w:tab/>
        <w:t xml:space="preserve">Действующее законодательство разграничивает процедуры </w:t>
      </w:r>
      <w:r>
        <w:rPr>
          <w:rFonts w:eastAsia="Times New Roman" w:cs="Times New Roman" w:ascii="Times New Roman" w:hAnsi="Times New Roman"/>
          <w:color w:val="000000"/>
          <w:sz w:val="28"/>
          <w:szCs w:val="28"/>
          <w:u w:val="single"/>
          <w:lang w:eastAsia="ru-RU"/>
        </w:rPr>
        <w:t>изменения вида разрешенного использования земельного участка</w:t>
      </w:r>
      <w:r>
        <w:rPr>
          <w:rFonts w:eastAsia="Times New Roman" w:cs="Times New Roman" w:ascii="Times New Roman" w:hAnsi="Times New Roman"/>
          <w:color w:val="000000"/>
          <w:sz w:val="28"/>
          <w:szCs w:val="28"/>
          <w:lang w:eastAsia="ru-RU"/>
        </w:rPr>
        <w:t xml:space="preserve"> и п</w:t>
      </w:r>
      <w:r>
        <w:rPr>
          <w:rFonts w:eastAsia="Times New Roman" w:cs="Times New Roman" w:ascii="Times New Roman" w:hAnsi="Times New Roman"/>
          <w:color w:val="000000"/>
          <w:sz w:val="28"/>
          <w:szCs w:val="28"/>
          <w:u w:val="single"/>
          <w:lang w:eastAsia="ru-RU"/>
        </w:rPr>
        <w:t>риведения в соответствие видов разрешенного использования земельных участков Классификатору видов разрешенного использования земельных участков</w:t>
      </w:r>
      <w:r>
        <w:rPr>
          <w:rFonts w:eastAsia="Times New Roman" w:cs="Times New Roman" w:ascii="Times New Roman" w:hAnsi="Times New Roman"/>
          <w:color w:val="000000"/>
          <w:sz w:val="28"/>
          <w:szCs w:val="28"/>
          <w:lang w:eastAsia="ru-RU"/>
        </w:rPr>
        <w:t xml:space="preserve">, утвержденному приказом Росреестра от 10 ноября 2020 г. N П/0412 (далее - Классификатор).   </w:t>
      </w:r>
    </w:p>
    <w:p>
      <w:pPr>
        <w:pStyle w:val="Normal"/>
        <w:spacing w:lineRule="atLeast" w:line="288" w:before="0" w:after="0"/>
        <w:ind w:firstLine="708" w:left="0" w:right="0"/>
        <w:jc w:val="both"/>
        <w:rPr>
          <w:rFonts w:ascii="Times New Roman" w:hAnsi="Times New Roman" w:eastAsia="Times New Roman" w:cs="Times New Roman"/>
          <w:b/>
          <w:bCs/>
          <w:color w:val="000000"/>
          <w:sz w:val="28"/>
          <w:szCs w:val="28"/>
          <w:u w:val="single"/>
          <w14:ligatures w14:val="none"/>
        </w:rPr>
      </w:pPr>
      <w:r>
        <w:rPr>
          <w:rFonts w:eastAsia="Times New Roman" w:cs="Times New Roman" w:ascii="Times New Roman" w:hAnsi="Times New Roman"/>
          <w:b/>
          <w:bCs/>
          <w:color w:val="000000"/>
          <w:sz w:val="28"/>
          <w:szCs w:val="28"/>
          <w:u w:val="single"/>
          <w14:ligatures w14:val="none"/>
        </w:rPr>
      </w:r>
    </w:p>
    <w:p>
      <w:pPr>
        <w:pStyle w:val="Normal"/>
        <w:spacing w:lineRule="atLeast" w:line="288" w:before="0" w:after="0"/>
        <w:ind w:firstLine="708" w:left="0" w:right="0"/>
        <w:jc w:val="both"/>
        <w:rPr>
          <w:rFonts w:ascii="Times New Roman" w:hAnsi="Times New Roman" w:eastAsia="Times New Roman" w:cs="Times New Roman"/>
          <w:b/>
          <w:bCs/>
          <w:color w:val="000000"/>
          <w:sz w:val="28"/>
          <w:szCs w:val="28"/>
          <w:highlight w:val="none"/>
          <w:u w:val="single"/>
          <w:lang w:eastAsia="ru-RU"/>
          <w14:ligatures w14:val="none"/>
        </w:rPr>
      </w:pPr>
      <w:r>
        <w:rPr>
          <w:rFonts w:eastAsia="Times New Roman" w:cs="Times New Roman" w:ascii="Times New Roman" w:hAnsi="Times New Roman"/>
          <w:b/>
          <w:bCs/>
          <w:color w:val="000000"/>
          <w:sz w:val="28"/>
          <w:szCs w:val="28"/>
          <w:u w:val="single"/>
          <w:lang w:eastAsia="ru-RU"/>
        </w:rPr>
        <w:t xml:space="preserve">Изменение вида разрешенного использования земельных участков. </w:t>
      </w:r>
    </w:p>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color w:val="000000"/>
          <w:sz w:val="28"/>
          <w:szCs w:val="28"/>
          <w:lang w:eastAsia="ru-RU"/>
          <w14:ligatures w14:val="none"/>
        </w:rPr>
      </w:r>
    </w:p>
    <w:p>
      <w:pPr>
        <w:pStyle w:val="Normal"/>
        <w:spacing w:lineRule="atLeast" w:line="288" w:before="0" w:after="0"/>
        <w:ind w:firstLine="708" w:left="0" w:right="0"/>
        <w:jc w:val="both"/>
        <w:rPr>
          <w:rFonts w:ascii="Times New Roman" w:hAnsi="Times New Roman" w:eastAsia="Times New Roman" w:cs="Times New Roman"/>
          <w:color w:val="000000"/>
          <w:sz w:val="28"/>
          <w:szCs w:val="28"/>
          <w:highlight w:val="none"/>
          <w:lang w:eastAsia="ru-RU"/>
          <w14:ligatures w14:val="none"/>
        </w:rPr>
      </w:pPr>
      <w:r>
        <w:rPr>
          <w:rFonts w:eastAsia="Times New Roman" w:cs="Times New Roman" w:ascii="Times New Roman" w:hAnsi="Times New Roman"/>
          <w:color w:val="000000"/>
          <w:sz w:val="28"/>
          <w:szCs w:val="28"/>
          <w:lang w:eastAsia="ru-RU"/>
        </w:rPr>
        <w:t>Согласно пункту 2 статьи 7 ЗК РФ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w:t>
      </w:r>
    </w:p>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color w:val="000000"/>
          <w:sz w:val="28"/>
          <w:szCs w:val="28"/>
          <w:lang w:eastAsia="ru-RU"/>
        </w:rPr>
        <w:t>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ЗК РФ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color w:val="000000"/>
          <w:sz w:val="28"/>
          <w:szCs w:val="28"/>
          <w:lang w:eastAsia="ru-RU"/>
        </w:rPr>
        <w:t>В соответствии с частью 4 статьи 37 Градостроительного кодекса Российской Федерации (далее - ГрК РФ)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color w:val="000000"/>
          <w:sz w:val="28"/>
          <w:szCs w:val="28"/>
          <w:lang w:eastAsia="ru-RU"/>
        </w:rPr>
        <w:t>Согласно части 3 статьи 37 ГрК РФ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Normal"/>
        <w:spacing w:lineRule="atLeast" w:line="288" w:before="0" w:after="0"/>
        <w:ind w:firstLine="708" w:left="0" w:right="0"/>
        <w:jc w:val="both"/>
        <w:rPr>
          <w:rFonts w:ascii="Times New Roman" w:hAnsi="Times New Roman" w:eastAsia="Times New Roman" w:cs="Times New Roman"/>
          <w:color w:val="000000"/>
          <w:sz w:val="28"/>
          <w:szCs w:val="28"/>
          <w:highlight w:val="none"/>
          <w:lang w:eastAsia="ru-RU"/>
          <w14:ligatures w14:val="none"/>
        </w:rPr>
      </w:pPr>
      <w:r>
        <w:rPr>
          <w:rFonts w:eastAsia="Times New Roman" w:cs="Times New Roman" w:ascii="Times New Roman" w:hAnsi="Times New Roman"/>
          <w:color w:val="000000"/>
          <w:sz w:val="28"/>
          <w:szCs w:val="28"/>
          <w:lang w:eastAsia="ru-RU"/>
        </w:rPr>
        <w:t>Таким образом, при наличии в градостроительном регламенте необходимого вида разрешенного использования правообладатель участка в целях изменения вида его разрешенного использования обращается в Росреестр с заявлением о государственном кадастровом учете, в котором указывается выбранный вид разрешенного использования.</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Обращаем внимание, в</w:t>
      </w:r>
      <w:r>
        <w:rPr>
          <w:rFonts w:cs="Times New Roman" w:ascii="Times New Roman" w:hAnsi="Times New Roman"/>
          <w:sz w:val="28"/>
          <w:szCs w:val="28"/>
        </w:rPr>
        <w:t xml:space="preserve"> соответствии с Федеральным законом                            от 13.07.2015 № 218-ФЗ «О государственной регистрации недвижимости» сведения вспомогательных видах разрешенного использования не являются сведениями ЕГРН, соответственно такой вид разрешенного использования не может быть внесен в ЕГРН по заявлению правообладателя.  </w:t>
      </w:r>
    </w:p>
    <w:p>
      <w:pPr>
        <w:pStyle w:val="Normal"/>
        <w:spacing w:lineRule="auto" w:line="240" w:before="0" w:after="0"/>
        <w:ind w:firstLine="708"/>
        <w:jc w:val="both"/>
        <w:rPr>
          <w:rFonts w:ascii="Times New Roman" w:hAnsi="Times New Roman" w:eastAsia="Times New Roman" w:cs="Times New Roman"/>
          <w:bCs/>
          <w:color w:val="000000"/>
          <w:sz w:val="28"/>
          <w:szCs w:val="28"/>
          <w:lang w:eastAsia="ru-RU"/>
        </w:rPr>
      </w:pPr>
      <w:r>
        <w:rPr>
          <w:rFonts w:eastAsia="Times New Roman" w:cs="Times New Roman" w:ascii="Times New Roman" w:hAnsi="Times New Roman"/>
          <w:bCs/>
          <w:color w:val="000000"/>
          <w:sz w:val="28"/>
          <w:szCs w:val="28"/>
          <w:lang w:eastAsia="ru-RU"/>
        </w:rPr>
        <w:t xml:space="preserve">Также Федеральным </w:t>
      </w:r>
      <w:r>
        <w:rPr>
          <w:rFonts w:cs="Times New Roman" w:ascii="Times New Roman" w:hAnsi="Times New Roman"/>
          <w:sz w:val="28"/>
          <w:szCs w:val="28"/>
        </w:rPr>
        <w:t>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№217-ФЗ )</w:t>
      </w:r>
      <w:r>
        <w:rPr>
          <w:rFonts w:eastAsia="Times New Roman" w:cs="Times New Roman" w:ascii="Times New Roman" w:hAnsi="Times New Roman"/>
          <w:bCs/>
          <w:color w:val="000000"/>
          <w:sz w:val="28"/>
          <w:szCs w:val="28"/>
          <w:lang w:eastAsia="ru-RU"/>
        </w:rPr>
        <w:t xml:space="preserve"> установлен запрет на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w:t>
      </w:r>
      <w:hyperlink r:id="rId3" w:tgtFrame="https://login.consultant.ru/link/?req=doc&amp;base=LAW&amp;n=481366">
        <w:r>
          <w:rPr>
            <w:rStyle w:val="ListLabel1"/>
            <w:rFonts w:eastAsia="Times New Roman" w:cs="Times New Roman" w:ascii="Times New Roman" w:hAnsi="Times New Roman"/>
            <w:bCs/>
            <w:color w:val="000000"/>
            <w:sz w:val="28"/>
            <w:szCs w:val="28"/>
            <w:lang w:eastAsia="ru-RU"/>
          </w:rPr>
          <w:t>Закона</w:t>
        </w:r>
      </w:hyperlink>
      <w:r>
        <w:rPr>
          <w:rFonts w:eastAsia="Times New Roman" w:cs="Times New Roman" w:ascii="Times New Roman" w:hAnsi="Times New Roman"/>
          <w:bCs/>
          <w:color w:val="000000"/>
          <w:sz w:val="28"/>
          <w:szCs w:val="28"/>
          <w:lang w:eastAsia="ru-RU"/>
        </w:rPr>
        <w:t xml:space="preserve"> N 217-ФЗ садоводческому или огородническому некоммерческому объединению граждан. Исключение составляют случаи, когда  такое некоммерческое объединение ликвидировано или исключено из единого государственного реестра юридических лиц как недействующее.</w:t>
      </w:r>
    </w:p>
    <w:p>
      <w:pPr>
        <w:pStyle w:val="Normal"/>
        <w:spacing w:lineRule="atLeast" w:line="288" w:before="0" w:after="0"/>
        <w:ind w:firstLine="708" w:left="0" w:right="0"/>
        <w:jc w:val="both"/>
        <w:rPr>
          <w:rFonts w:ascii="Times New Roman" w:hAnsi="Times New Roman" w:eastAsia="Times New Roman" w:cs="Times New Roman"/>
          <w:color w:val="000000"/>
          <w:sz w:val="28"/>
          <w:szCs w:val="28"/>
          <w:lang w:eastAsia="ru-RU"/>
          <w14:ligatures w14:val="none"/>
        </w:rPr>
      </w:pPr>
      <w:r>
        <w:rPr>
          <w:rFonts w:eastAsia="Times New Roman" w:cs="Times New Roman" w:ascii="Times New Roman" w:hAnsi="Times New Roman"/>
          <w:color w:val="000000"/>
          <w:sz w:val="28"/>
          <w:szCs w:val="28"/>
          <w:lang w:eastAsia="ru-RU"/>
          <w14:ligatures w14:val="none"/>
        </w:rPr>
      </w:r>
    </w:p>
    <w:p>
      <w:pPr>
        <w:pStyle w:val="Normal"/>
        <w:spacing w:lineRule="atLeast" w:line="288" w:before="168" w:after="0"/>
        <w:ind w:firstLine="540" w:left="0" w:right="0"/>
        <w:jc w:val="center"/>
        <w:rPr>
          <w:rFonts w:ascii="Times New Roman" w:hAnsi="Times New Roman" w:eastAsia="Times New Roman" w:cs="Times New Roman"/>
          <w:b/>
          <w:bCs/>
          <w:color w:val="000000"/>
          <w:sz w:val="24"/>
          <w:szCs w:val="24"/>
          <w:highlight w:val="none"/>
        </w:rPr>
      </w:pPr>
      <w:r>
        <w:rPr>
          <w:rFonts w:eastAsia="Times New Roman" w:cs="Times New Roman" w:ascii="Times New Roman" w:hAnsi="Times New Roman"/>
          <w:b/>
          <w:bCs/>
          <w:color w:val="000000"/>
          <w:sz w:val="28"/>
          <w:szCs w:val="28"/>
          <w:u w:val="single"/>
          <w:lang w:eastAsia="ru-RU"/>
        </w:rPr>
        <w:t>Приведения в соответствие видов разрешенного использования земельных участков Классификатору</w:t>
      </w:r>
    </w:p>
    <w:p>
      <w:pPr>
        <w:pStyle w:val="Normal"/>
        <w:spacing w:lineRule="atLeast" w:line="288" w:before="168" w:after="0"/>
        <w:ind w:firstLine="540" w:left="0" w:right="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tLeast" w:line="288" w:before="168" w:after="0"/>
        <w:ind w:firstLine="540" w:left="0" w:right="0"/>
        <w:jc w:val="both"/>
        <w:rPr>
          <w:rFonts w:ascii="Times New Roman" w:hAnsi="Times New Roman" w:eastAsia="Times New Roman" w:cs="Times New Roman"/>
          <w:color w:val="000000"/>
          <w:sz w:val="28"/>
          <w:szCs w:val="28"/>
          <w14:ligatures w14:val="none"/>
        </w:rPr>
      </w:pPr>
      <w:r>
        <w:rPr>
          <w:rFonts w:eastAsia="Times New Roman" w:cs="Times New Roman" w:ascii="Times New Roman" w:hAnsi="Times New Roman"/>
          <w:color w:val="000000"/>
          <w:sz w:val="28"/>
          <w:szCs w:val="28"/>
        </w:rPr>
        <w:t>Согласно части 13 статьи 34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(далее - Закон N 171-ФЗ)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принимается на основании заявления правообладателя земельного участка об установлении соответствия разрешенного использования земельного участка Классификатору уполномоченным на установление или изменение видов разрешенного использования земельного участка органом государственной власти или органом местного самоуправления в течение одного месяца со дня поступления такого заявления.</w:t>
      </w:r>
    </w:p>
    <w:p>
      <w:pPr>
        <w:pStyle w:val="Normal"/>
        <w:spacing w:lineRule="atLeast" w:line="288" w:before="168" w:after="0"/>
        <w:ind w:firstLine="540" w:left="0" w:right="0"/>
        <w:jc w:val="both"/>
        <w:rPr>
          <w:rFonts w:ascii="Times New Roman" w:hAnsi="Times New Roman" w:eastAsia="Times New Roman" w:cs="Times New Roman"/>
          <w:color w:val="000000"/>
          <w:sz w:val="28"/>
          <w:szCs w:val="28"/>
          <w14:ligatures w14:val="none"/>
        </w:rPr>
      </w:pPr>
      <w:r>
        <w:rPr>
          <w:rFonts w:eastAsia="Times New Roman" w:cs="Times New Roman" w:ascii="Times New Roman" w:hAnsi="Times New Roman"/>
          <w:color w:val="000000"/>
          <w:sz w:val="28"/>
          <w:szCs w:val="28"/>
          <w:u w:val="single"/>
        </w:rPr>
        <w:t>На основании данного решения,</w:t>
      </w:r>
      <w:r>
        <w:rPr>
          <w:rFonts w:eastAsia="Times New Roman" w:cs="Times New Roman" w:ascii="Times New Roman" w:hAnsi="Times New Roman"/>
          <w:color w:val="000000"/>
          <w:sz w:val="28"/>
          <w:szCs w:val="28"/>
        </w:rPr>
        <w:t xml:space="preserve"> представленного уполномоченным органом в рамках информационного взаимодействия, Росреестр вносит изменения в сведения Единого государственного реестра недвижимости (далее - ЕГРН) о разрешенном использовании земельного участка.</w:t>
      </w:r>
    </w:p>
    <w:p>
      <w:pPr>
        <w:pStyle w:val="Normal"/>
        <w:spacing w:lineRule="atLeast" w:line="288" w:before="168" w:after="0"/>
        <w:ind w:firstLine="540" w:left="0" w:right="0"/>
        <w:jc w:val="both"/>
        <w:rPr>
          <w:rFonts w:ascii="Times New Roman" w:hAnsi="Times New Roman" w:eastAsia="Times New Roman" w:cs="Times New Roman"/>
          <w:color w:val="000000"/>
          <w:sz w:val="28"/>
          <w:szCs w:val="28"/>
          <w14:ligatures w14:val="none"/>
        </w:rPr>
      </w:pPr>
      <w:r>
        <w:rPr>
          <w:rFonts w:eastAsia="Times New Roman" w:cs="Times New Roman" w:ascii="Times New Roman" w:hAnsi="Times New Roman"/>
          <w:color w:val="000000"/>
          <w:sz w:val="28"/>
          <w:szCs w:val="28"/>
        </w:rPr>
        <w:t xml:space="preserve">Росреестр обращает внимание, что часть 13 статьи 34 Закона 171-ФЗ предусматривает установление соответствия вида разрешенного использования Классификатору. </w:t>
      </w:r>
      <w:r>
        <w:rPr>
          <w:rFonts w:eastAsia="Times New Roman" w:cs="Times New Roman" w:ascii="Times New Roman" w:hAnsi="Times New Roman"/>
          <w:color w:val="000000"/>
          <w:sz w:val="28"/>
          <w:szCs w:val="28"/>
          <w:u w:val="single"/>
        </w:rPr>
        <w:t>При принятии решения об установлении соответствия разрешенного использования земельного участка Классификатору не изменяется вид разрешенного использования земельного участка,</w:t>
      </w:r>
      <w:r>
        <w:rPr>
          <w:rFonts w:eastAsia="Times New Roman" w:cs="Times New Roman" w:ascii="Times New Roman" w:hAnsi="Times New Roman"/>
          <w:color w:val="000000"/>
          <w:sz w:val="28"/>
          <w:szCs w:val="28"/>
        </w:rPr>
        <w:t xml:space="preserve"> из Классификатора уполномоченным органом выбирается вид разрешенного использования земельного участка, описание которого максимально соответствует "исходному" виду разрешенного использования земельного участка, исходя из правоустанавливающих документов и целей предоставления земельного участка.</w:t>
      </w:r>
    </w:p>
    <w:p>
      <w:pPr>
        <w:pStyle w:val="Normal"/>
        <w:spacing w:lineRule="atLeast" w:line="288" w:before="168" w:after="0"/>
        <w:ind w:firstLine="540" w:left="0" w:right="0"/>
        <w:jc w:val="both"/>
        <w:rPr>
          <w:rFonts w:ascii="Times New Roman" w:hAnsi="Times New Roman" w:eastAsia="Times New Roman" w:cs="Times New Roman"/>
          <w:color w:val="000000"/>
          <w:sz w:val="28"/>
          <w:szCs w:val="28"/>
          <w14:ligatures w14:val="none"/>
        </w:rPr>
      </w:pPr>
      <w:r>
        <w:rPr>
          <w:rFonts w:eastAsia="Times New Roman" w:cs="Times New Roman" w:ascii="Times New Roman" w:hAnsi="Times New Roman"/>
          <w:color w:val="000000"/>
          <w:sz w:val="28"/>
          <w:szCs w:val="28"/>
        </w:rPr>
        <w:t>Установление соответствия между видами разрешенного использования земельного участка в соответствии с частью 13 статьи 34 Закона N 171-ФЗ не должно приводить к фактическому изменению вида разрешенного использования земельного участка в обход установленных процедур.</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PT Astra Serif" w:hAnsi="PT Astra Serif"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Mang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Mangal"/>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Style9">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7" w:customStyle="1">
    <w:name w:val="Основной текст7"/>
    <w:basedOn w:val="Normal"/>
    <w:qFormat/>
    <w:pPr>
      <w:keepNext w:val="false"/>
      <w:keepLines w:val="false"/>
      <w:pageBreakBefore w:val="false"/>
      <w:widowControl/>
      <w:shd w:val="clear" w:color="auto" w:fill="FFFFFF"/>
      <w:spacing w:lineRule="exact" w:line="341" w:beforeAutospacing="0" w:before="0" w:afterAutospacing="0" w:after="300"/>
      <w:ind w:hanging="0" w:left="0" w:right="0"/>
      <w:jc w:val="center"/>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position w:val="0"/>
      <w:sz w:val="27"/>
      <w:sz w:val="27"/>
      <w:szCs w:val="27"/>
      <w:u w:val="none"/>
      <w:vertAlign w:val="baseline"/>
      <w:lang w:val="ru-RU" w:eastAsia="en-US" w:bidi="ar-SA"/>
      <w14:ligatures w14:val="none"/>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1068&amp;dst=100053" TargetMode="External"/><Relationship Id="rId3" Type="http://schemas.openxmlformats.org/officeDocument/2006/relationships/hyperlink" Target="https://login.consultant.ru/link/?req=doc&amp;base=LAW&amp;n=481366"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3</Pages>
  <Words>642</Words>
  <Characters>4993</Characters>
  <CharactersWithSpaces>5737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2026-01-16T03:45:18Z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