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19.02.2026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"/>
        <w:spacing w:lineRule="auto" w:line="240" w:before="0" w:after="0"/>
        <w:jc w:val="center"/>
        <w:rPr>
          <w:sz w:val="26"/>
          <w:szCs w:val="26"/>
          <w:shd w:fill="auto" w:val="clear"/>
        </w:rPr>
      </w:pPr>
      <w:r>
        <w:rPr>
          <w:b/>
          <w:sz w:val="30"/>
          <w:szCs w:val="30"/>
          <w:shd w:fill="auto" w:val="clear"/>
        </w:rPr>
        <w:t>Строительно-техническая экспертиза позволяет оценить качество строительства</w:t>
      </w:r>
    </w:p>
    <w:p>
      <w:pPr>
        <w:pStyle w:val="BodyText"/>
        <w:spacing w:lineRule="auto" w:line="240" w:before="0" w:after="0"/>
        <w:jc w:val="center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ind w:firstLine="709" w:right="0"/>
        <w:jc w:val="both"/>
        <w:rPr>
          <w:b w:val="false"/>
          <w:bCs w:val="false"/>
          <w:color w:val="000000"/>
          <w:sz w:val="26"/>
          <w:szCs w:val="26"/>
          <w:shd w:fill="FFFFFE" w:val="clear"/>
        </w:rPr>
      </w:pPr>
      <w:r>
        <w:rPr>
          <w:b/>
          <w:bCs/>
          <w:strike w:val="false"/>
          <w:dstrike w:val="false"/>
          <w:color w:val="000000"/>
          <w:sz w:val="26"/>
          <w:szCs w:val="26"/>
          <w:shd w:fill="auto" w:val="clear"/>
        </w:rPr>
        <w:t>Строительно-техническая экспертиза -</w:t>
      </w:r>
      <w:r>
        <w:rPr>
          <w:b/>
          <w:bCs/>
          <w:color w:val="000000"/>
          <w:sz w:val="26"/>
          <w:szCs w:val="26"/>
          <w:shd w:fill="FFFFFE" w:val="clear"/>
        </w:rPr>
        <w:t xml:space="preserve"> вид специализированного исследования строений, которое позволяет определить их техническое состояние и соответствие строительным нормам. Эксперты филиала ППК «Роскадастр» по Алтайскому краю ответили на вопросы жителей региона о строительно-технической экспертизе и особенностях ее проведения.</w:t>
      </w:r>
    </w:p>
    <w:p>
      <w:pPr>
        <w:pStyle w:val="Normal"/>
        <w:widowControl w:val="false"/>
        <w:ind w:firstLine="709" w:right="0"/>
        <w:jc w:val="both"/>
        <w:rPr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  <w:shd w:fill="FFFFFE" w:val="clear"/>
        </w:rPr>
        <w:t>Строительно-техническая экспертиза представляет собой независимое исследование, целью которого является оценка качества выполненных строительных работ и технического состояния строений, проверка проектной документации, соблюдения действующего законодательства и стандартов.</w:t>
      </w:r>
    </w:p>
    <w:p>
      <w:pPr>
        <w:pStyle w:val="Normal"/>
        <w:widowControl w:val="false"/>
        <w:ind w:firstLine="709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Чаще всего такая экспертиза проводится в следующих случаях:</w:t>
      </w:r>
    </w:p>
    <w:p>
      <w:pPr>
        <w:pStyle w:val="Normal"/>
        <w:widowControl w:val="false"/>
        <w:ind w:firstLine="709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возникновение разногласий между участниками строительного процесса;</w:t>
      </w:r>
    </w:p>
    <w:p>
      <w:pPr>
        <w:pStyle w:val="Normal"/>
        <w:widowControl w:val="false"/>
        <w:ind w:firstLine="709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проверка объектов недвижимости перед приобретением для выявления скрытых дефектов и проблем;</w:t>
      </w:r>
    </w:p>
    <w:p>
      <w:pPr>
        <w:pStyle w:val="Normal"/>
        <w:widowControl w:val="false"/>
        <w:ind w:firstLine="709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планирование ремонта, перепланировки или реконструкции помещений;</w:t>
      </w:r>
    </w:p>
    <w:p>
      <w:pPr>
        <w:pStyle w:val="Normal"/>
        <w:widowControl w:val="false"/>
        <w:ind w:firstLine="709" w:right="0"/>
        <w:jc w:val="both"/>
        <w:rPr>
          <w:color w:val="000000"/>
          <w:sz w:val="26"/>
          <w:szCs w:val="26"/>
          <w:shd w:fill="auto" w:val="clear"/>
        </w:rPr>
      </w:pPr>
      <w:r>
        <w:rPr>
          <w:color w:val="000000"/>
          <w:sz w:val="26"/>
          <w:szCs w:val="26"/>
        </w:rPr>
        <w:t>- оценка повреждений имущества вследствие пожара, наводнения, аварии или другого чрезвычайного происшествия.</w:t>
      </w:r>
    </w:p>
    <w:p>
      <w:pPr>
        <w:pStyle w:val="Normal"/>
        <w:widowControl w:val="false"/>
        <w:ind w:firstLine="709" w:right="0"/>
        <w:jc w:val="both"/>
        <w:rPr>
          <w:i/>
          <w:i/>
          <w:iCs/>
          <w:sz w:val="26"/>
          <w:szCs w:val="26"/>
        </w:rPr>
      </w:pPr>
      <w:r>
        <w:rPr>
          <w:color w:val="000000"/>
          <w:sz w:val="26"/>
          <w:szCs w:val="26"/>
          <w:shd w:fill="auto" w:val="clear"/>
        </w:rPr>
        <w:t>Процедура включает осмотр объекта, изучение документации, проведение измерений, лабораторные исследования. Специалист</w:t>
      </w:r>
      <w:r>
        <w:rPr>
          <w:strike w:val="false"/>
          <w:dstrike w:val="false"/>
          <w:color w:val="000000"/>
          <w:sz w:val="26"/>
          <w:szCs w:val="26"/>
          <w:shd w:fill="auto" w:val="clear"/>
        </w:rPr>
        <w:t xml:space="preserve"> анализирует полученные данные и составляет заключение с выводами о выявленных нарушениях, недостатках, рекомендациями по устранению обнаруженных проблем.</w:t>
      </w:r>
    </w:p>
    <w:p>
      <w:pPr>
        <w:pStyle w:val="Normal"/>
        <w:widowControl w:val="false"/>
        <w:ind w:firstLine="709" w:right="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>Строительно-техническую экспертизу могут проводить только обученные специалисты, получившие необходимое высшее профессиональное образование и имеющие опыт работы в этой сфере. Экспертиза проводится по инициативе одной из сторон либо назначается в рамках судебного разбирательства. Если исследование проводится по решению суда, эксперт наделяется особыми правами и обязанностями, участвует в судебном заседании; его заключение имеет юридическую силу».</w:t>
      </w:r>
    </w:p>
    <w:p>
      <w:pPr>
        <w:pStyle w:val="Normal"/>
        <w:widowControl w:val="false"/>
        <w:ind w:hanging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hanging="0" w:right="0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hanging="0" w:right="0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720" w:footer="63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Heading1">
    <w:name w:val="Heading 1"/>
    <w:basedOn w:val="Style18"/>
    <w:qFormat/>
    <w:pPr>
      <w:numPr>
        <w:ilvl w:val="0"/>
        <w:numId w:val="1"/>
      </w:numPr>
      <w:ind w:hanging="0" w:left="0" w:right="0"/>
      <w:outlineLvl w:val="0"/>
    </w:pPr>
    <w:rPr/>
  </w:style>
  <w:style w:type="paragraph" w:styleId="Heading2">
    <w:name w:val="Heading 2"/>
    <w:basedOn w:val="Style18"/>
    <w:qFormat/>
    <w:pPr>
      <w:numPr>
        <w:ilvl w:val="1"/>
        <w:numId w:val="1"/>
      </w:numPr>
      <w:ind w:hanging="0" w:left="0" w:right="0"/>
      <w:outlineLvl w:val="1"/>
    </w:pPr>
    <w:rPr/>
  </w:style>
  <w:style w:type="paragraph" w:styleId="Heading3">
    <w:name w:val="Heading 3"/>
    <w:basedOn w:val="Style18"/>
    <w:qFormat/>
    <w:pPr>
      <w:numPr>
        <w:ilvl w:val="2"/>
        <w:numId w:val="1"/>
      </w:numPr>
      <w:ind w:hanging="0" w:left="0" w:right="0"/>
      <w:outlineLvl w:val="2"/>
    </w:pPr>
    <w:rPr/>
  </w:style>
  <w:style w:type="paragraph" w:styleId="Heading4">
    <w:name w:val="Heading 4"/>
    <w:basedOn w:val="Style18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6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DefaultParagraphFont" w:default="1">
    <w:name w:val="Default Paragraph Font"/>
    <w:qFormat/>
    <w:rPr/>
  </w:style>
  <w:style w:type="character" w:styleId="ConsNonformat">
    <w:name w:val="ConsNonformat Знак"/>
    <w:qFormat/>
    <w:rPr>
      <w:rFonts w:ascii="Courier New" w:hAnsi="Courier New" w:cs="Courier New"/>
      <w:sz w:val="26"/>
      <w:szCs w:val="26"/>
      <w:lang w:val="ru-RU" w:bidi="ar-SA"/>
    </w:rPr>
  </w:style>
  <w:style w:type="character" w:styleId="5">
    <w:name w:val="Основной текст (5)_"/>
    <w:qFormat/>
    <w:rPr>
      <w:b/>
      <w:bCs/>
      <w:spacing w:val="2"/>
      <w:sz w:val="24"/>
      <w:szCs w:val="24"/>
      <w:lang w:bidi="ar-SA"/>
    </w:rPr>
  </w:style>
  <w:style w:type="character" w:styleId="4">
    <w:name w:val="Основной текст (4)_"/>
    <w:qFormat/>
    <w:rPr>
      <w:b/>
      <w:bCs/>
      <w:sz w:val="24"/>
      <w:szCs w:val="24"/>
      <w:lang w:bidi="ar-SA"/>
    </w:rPr>
  </w:style>
  <w:style w:type="character" w:styleId="Emphasis">
    <w:name w:val="Emphasis"/>
    <w:qFormat/>
    <w:rPr>
      <w:rFonts w:cs="Times New Roman"/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Style7">
    <w:name w:val="Нижний колонтитул Знак"/>
    <w:qFormat/>
    <w:rPr>
      <w:sz w:val="24"/>
      <w:szCs w:val="24"/>
      <w:lang w:val="ru-RU" w:bidi="ar-SA"/>
    </w:rPr>
  </w:style>
  <w:style w:type="character" w:styleId="Style8">
    <w:name w:val="Верхний колонтитул Знак"/>
    <w:qFormat/>
    <w:rPr>
      <w:sz w:val="24"/>
      <w:szCs w:val="24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0">
    <w:name w:val="Текст сноски Знак"/>
    <w:qFormat/>
    <w:rPr>
      <w:rFonts w:ascii="Calibri" w:hAnsi="Calibri" w:eastAsia="Calibri" w:cs="Times New Roman"/>
    </w:rPr>
  </w:style>
  <w:style w:type="character" w:styleId="Style11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Apple-style-span">
    <w:name w:val="apple-style-span"/>
    <w:basedOn w:val="DefaultParagraphFont"/>
    <w:qFormat/>
    <w:rPr/>
  </w:style>
  <w:style w:type="character" w:styleId="Strong1">
    <w:name w:val="Strong1"/>
    <w:qFormat/>
    <w:rPr>
      <w:b/>
      <w:bCs/>
    </w:rPr>
  </w:style>
  <w:style w:type="character" w:styleId="8">
    <w:name w:val="Основной текст (8)"/>
    <w:qFormat/>
    <w:rPr>
      <w:spacing w:val="4"/>
      <w:sz w:val="28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2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Знак сноски"/>
    <w:qFormat/>
    <w:rPr>
      <w:vertAlign w:val="superscript"/>
    </w:rPr>
  </w:style>
  <w:style w:type="character" w:styleId="Style15">
    <w:name w:val="Символы концевой сноски"/>
    <w:qFormat/>
    <w:rPr>
      <w:vertAlign w:val="superscript"/>
    </w:rPr>
  </w:style>
  <w:style w:type="character" w:styleId="WW-">
    <w:name w:val="WW-Символы концевой сноски"/>
    <w:qFormat/>
    <w:rPr/>
  </w:style>
  <w:style w:type="character" w:styleId="Style16">
    <w:name w:val="Знак концевой сноски"/>
    <w:qFormat/>
    <w:rPr>
      <w:vertAlign w:val="superscript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next w:val="Body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en-US" w:eastAsia="en-US" w:bidi="en-U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1">
    <w:name w:val="Заголовок1"/>
    <w:basedOn w:val="Normal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">
    <w:name w:val="Caption111111111111111111111"/>
    <w:basedOn w:val="Style18"/>
    <w:qFormat/>
    <w:pPr>
      <w:jc w:val="center"/>
    </w:pPr>
    <w:rPr>
      <w:b/>
      <w:bCs/>
      <w:sz w:val="56"/>
      <w:szCs w:val="56"/>
    </w:rPr>
  </w:style>
  <w:style w:type="paragraph" w:styleId="Style20">
    <w:name w:val="Название объекта"/>
    <w:basedOn w:val="Style18"/>
    <w:qFormat/>
    <w:pPr>
      <w:jc w:val="center"/>
    </w:pPr>
    <w:rPr>
      <w:b/>
      <w:bCs/>
      <w:sz w:val="56"/>
      <w:szCs w:val="56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31">
    <w:name w:val="Название объекта3"/>
    <w:basedOn w:val="Style18"/>
    <w:qFormat/>
    <w:pPr>
      <w:jc w:val="center"/>
    </w:pPr>
    <w:rPr>
      <w:b/>
      <w:bCs/>
      <w:sz w:val="56"/>
      <w:szCs w:val="56"/>
    </w:rPr>
  </w:style>
  <w:style w:type="paragraph" w:styleId="32">
    <w:name w:val="Указатель3"/>
    <w:basedOn w:val="Normal"/>
    <w:qFormat/>
    <w:pPr>
      <w:suppressLineNumbers/>
    </w:pPr>
    <w:rPr>
      <w:rFonts w:ascii="Times New Roman" w:hAnsi="Times New Roman" w:cs="Mangal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Times New Roman" w:hAnsi="Times New Roman" w:cs="Mangal"/>
    </w:rPr>
  </w:style>
  <w:style w:type="paragraph" w:styleId="ConsNonformat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6"/>
      <w:szCs w:val="26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zh-CN" w:bidi="ar-SA"/>
    </w:rPr>
  </w:style>
  <w:style w:type="paragraph" w:styleId="51">
    <w:name w:val="Основной текст (5)"/>
    <w:basedOn w:val="Normal"/>
    <w:qFormat/>
    <w:pPr>
      <w:spacing w:lineRule="atLeast" w:line="240" w:before="1680" w:after="60"/>
    </w:pPr>
    <w:rPr>
      <w:b/>
      <w:bCs/>
      <w:spacing w:val="2"/>
    </w:rPr>
  </w:style>
  <w:style w:type="paragraph" w:styleId="42">
    <w:name w:val="Основной текст (4)"/>
    <w:basedOn w:val="Normal"/>
    <w:qFormat/>
    <w:pPr>
      <w:spacing w:lineRule="exact" w:line="302"/>
      <w:jc w:val="right"/>
    </w:pPr>
    <w:rPr>
      <w:b/>
      <w:bCs/>
    </w:rPr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 CYR" w:hAnsi="Arial CYR" w:eastAsia="Times New Roman" w:cs="Arial CYR"/>
      <w:b/>
      <w:bCs/>
      <w:color w:val="00000A"/>
      <w:kern w:val="0"/>
      <w:sz w:val="24"/>
      <w:szCs w:val="20"/>
      <w:lang w:val="ru-RU" w:eastAsia="zh-CN" w:bidi="ar-SA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Footnotetext1">
    <w:name w:val="footnote text1"/>
    <w:basedOn w:val="Normal"/>
    <w:qFormat/>
    <w:pPr/>
    <w:rPr>
      <w:rFonts w:ascii="Calibri" w:hAnsi="Calibri" w:eastAsia="Calibri" w:cs="Times New Roman"/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zh-CN" w:bidi="ar-SA"/>
    </w:rPr>
  </w:style>
  <w:style w:type="paragraph" w:styleId="Rtejustify">
    <w:name w:val="rtejustify"/>
    <w:basedOn w:val="Normal"/>
    <w:qFormat/>
    <w:pPr>
      <w:spacing w:before="0" w:after="288"/>
      <w:jc w:val="both"/>
    </w:pPr>
    <w:rPr/>
  </w:style>
  <w:style w:type="paragraph" w:styleId="14">
    <w:name w:val="Цитата1"/>
    <w:basedOn w:val="Normal"/>
    <w:qFormat/>
    <w:pPr/>
    <w:rPr/>
  </w:style>
  <w:style w:type="paragraph" w:styleId="Subtitle">
    <w:name w:val="Subtitle"/>
    <w:basedOn w:val="11"/>
    <w:qFormat/>
    <w:pPr/>
    <w:rPr/>
  </w:style>
  <w:style w:type="paragraph" w:styleId="Style23">
    <w:name w:val="Содержимое таблицы"/>
    <w:basedOn w:val="Normal"/>
    <w:qFormat/>
    <w:pPr/>
    <w:rPr/>
  </w:style>
  <w:style w:type="paragraph" w:styleId="33">
    <w:name w:val="Основной текст3"/>
    <w:basedOn w:val="Normal"/>
    <w:qFormat/>
    <w:pPr>
      <w:spacing w:lineRule="exact" w:line="322"/>
      <w:ind w:hanging="0" w:left="0" w:right="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lang w:eastAsia="zh-CN"/>
    </w:rPr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zh-CN" w:bidi="ar-SA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numbering" w:styleId="Style26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1</Pages>
  <Words>196</Words>
  <Characters>1620</Characters>
  <CharactersWithSpaces>1805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2020-05-19T08:12:00Z</dcterms:created>
  <dc:creator>Sal</dc:creator>
  <dc:description/>
  <dc:language>ru-RU</dc:language>
  <cp:lastModifiedBy/>
  <dcterms:modified xsi:type="dcterms:W3CDTF">2026-02-20T14:27:07Z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