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10.02.2026</w:t>
      </w:r>
    </w:p>
    <w:p>
      <w:pPr>
        <w:pStyle w:val="ConsPlusNormal"/>
        <w:ind w:hanging="0"/>
        <w:jc w:val="both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white"/>
        </w:rPr>
        <w:t>Итоги работы Управления Росреестра по Алтайскому краю по обследованию пунктов государственной геодезической сети в регионе</w:t>
      </w:r>
    </w:p>
    <w:p>
      <w:pPr>
        <w:pStyle w:val="Normal"/>
        <w:ind w:firstLine="709"/>
        <w:jc w:val="both"/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</w:r>
    </w:p>
    <w:p>
      <w:pPr>
        <w:pStyle w:val="Normal"/>
        <w:ind w:firstLine="709"/>
        <w:jc w:val="both"/>
        <w:rPr>
          <w:b w:val="false"/>
          <w:bCs w:val="false"/>
          <w:highlight w:val="white"/>
        </w:rPr>
      </w:pPr>
      <w:r>
        <w:rPr>
          <w:b w:val="false"/>
          <w:bCs w:val="false"/>
          <w:highlight w:val="white"/>
        </w:rPr>
        <w:t xml:space="preserve">На территории Алтайского края учтено 4148 пунктов государственной геодезической сети (ГГС). </w:t>
      </w:r>
    </w:p>
    <w:p>
      <w:pPr>
        <w:pStyle w:val="Normal"/>
        <w:ind w:firstLine="709"/>
        <w:jc w:val="both"/>
        <w:rPr>
          <w:b w:val="false"/>
          <w:bCs w:val="false"/>
          <w:sz w:val="28"/>
          <w:szCs w:val="28"/>
          <w:highlight w:val="white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</w:rPr>
        <w:t>В 2025 году Управление Росреестра по Алтайскому краю (Управление) провело визуальный осмотр 327 пунктов государственной геодезической сети (ГГС) на местности, чтобы оценить их сохранность и пригодность для проведения геодезических и картографических работ. Общее количество обследованных пунктов ГГС Управлением составляет 3205 штук.</w:t>
      </w:r>
      <w:r>
        <w:rPr>
          <w:b w:val="false"/>
          <w:bCs w:val="false"/>
          <w:sz w:val="28"/>
          <w:szCs w:val="28"/>
          <w:highlight w:val="white"/>
        </w:rPr>
        <w:t xml:space="preserve"> </w:t>
      </w:r>
    </w:p>
    <w:p>
      <w:pPr>
        <w:pStyle w:val="Normal"/>
        <w:ind w:firstLine="708" w:left="0" w:right="0"/>
        <w:jc w:val="both"/>
        <w:rPr>
          <w:b w:val="false"/>
          <w:bCs w:val="false"/>
          <w:sz w:val="28"/>
          <w:szCs w:val="28"/>
          <w:highlight w:val="white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</w:rPr>
        <w:t xml:space="preserve">Кроме того, Управление активно осуществляет поиск на местности пунктов государственной нивелирной сети 1 и 2 классов, а также определяет координаты </w:t>
        <w:br/>
        <w:t xml:space="preserve">их центров с точностью не более одного метра с целью установления охранных зон этих пунктов. Из 1646 пунктов главной высотной основы, расположенных </w:t>
        <w:br/>
        <w:t xml:space="preserve">на территории Алтайского края, охранные зоны установлены в отношении 853 пунктов, что составляет 51,8% от их общего количества. Сведения об охранных зонах внесены в Единый государственный реестр недвижимости. </w:t>
      </w:r>
    </w:p>
    <w:p>
      <w:pPr>
        <w:pStyle w:val="Normal"/>
        <w:ind w:firstLine="708" w:left="0" w:right="0"/>
        <w:jc w:val="both"/>
        <w:rPr>
          <w:b w:val="false"/>
          <w:bCs w:val="false"/>
          <w:sz w:val="28"/>
          <w:szCs w:val="28"/>
          <w:highlight w:val="white"/>
        </w:rPr>
      </w:pP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</w:rPr>
        <w:t xml:space="preserve">Владельцам, пользователям и арендаторам земельных участков, а также зданий, строений и сооружений, в конструкциях которых установлены геодезические пункты, необходимо обеспечить их сохранность. Важно помнить, </w:t>
        <w:br/>
        <w:t>что в пределах границ охранных зон этих пунктов запрещено проводить работы, которые могут привести к их повреждению или уничтожению. Запрещается разрушать, перемещать, засыпать или повреждать элементы пунктов, а также размещать объекты и предметы, которые могут затруднить доступ к ним.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highlight w:val="white"/>
        </w:rPr>
      </w:pP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Елена Саулина, заместитель руководителя регионального Росреестра, отмечает: геодезические пункты важны и необходимы при проведении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ru-RU"/>
        </w:rPr>
        <w:t xml:space="preserve">геодезических и картографических работ, при осуществлении градостроительной </w:t>
        <w:br/>
        <w:t xml:space="preserve">и кадастровой деятельности, землеустройства, недропользования, иной деятельности, в том числе при установлении, изменении и уточнении прохождения Государственной границы Российской Федерации (включая </w:t>
        <w:br/>
        <w:t>ее делимитацию, демаркацию), при установлении, изменении границ между субъектами Российской Федерации, границ муниципальных образований.</w:t>
      </w:r>
    </w:p>
    <w:p>
      <w:pPr>
        <w:pStyle w:val="Normal"/>
        <w:ind w:firstLine="709"/>
        <w:jc w:val="both"/>
        <w:rPr>
          <w:b w:val="false"/>
          <w:bCs w:val="false"/>
          <w:highlight w:val="none"/>
        </w:rPr>
      </w:pPr>
      <w:r>
        <w:rPr>
          <w:b w:val="false"/>
          <w:bCs w:val="false"/>
          <w:highlight w:val="white"/>
        </w:rPr>
        <w:t xml:space="preserve">Работы по обследованию геодезических пунктов продолжаются. </w:t>
      </w:r>
      <w:bookmarkStart w:id="0" w:name="_GoBack"/>
      <w:bookmarkEnd w:id="0"/>
    </w:p>
    <w:p>
      <w:pPr>
        <w:pStyle w:val="Normal"/>
        <w:ind w:hanging="0"/>
        <w:jc w:val="both"/>
        <w:rPr>
          <w:b w:val="false"/>
          <w:bCs w:val="false"/>
          <w:highlight w:val="white"/>
        </w:rPr>
      </w:pPr>
      <w:r>
        <w:rPr>
          <w:b w:val="false"/>
          <w:bCs w:val="false"/>
          <w:highlight w:val="white"/>
        </w:rPr>
      </w:r>
    </w:p>
    <w:p>
      <w:pPr>
        <w:pStyle w:val="Normal"/>
        <w:ind w:hanging="0"/>
        <w:jc w:val="both"/>
        <w:rPr>
          <w:b w:val="false"/>
          <w:bCs w:val="false"/>
          <w:highlight w:val="none"/>
        </w:rPr>
      </w:pPr>
      <w:r>
        <w:rPr>
          <w:b w:val="false"/>
          <w:bCs w:val="false"/>
        </w:rPr>
      </w:r>
    </w:p>
    <w:p>
      <w:pPr>
        <w:pStyle w:val="Normal"/>
        <w:ind w:hanging="0"/>
        <w:jc w:val="both"/>
        <w:rPr>
          <w:b w:val="false"/>
          <w:bCs w:val="false"/>
          <w:highlight w:val="white"/>
        </w:rPr>
      </w:pPr>
      <w:r>
        <w:rPr>
          <w:b w:val="false"/>
          <w:bCs w:val="false"/>
          <w:highlight w:val="white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sk-SK"/>
          <w14:ligatures w14:val="none"/>
        </w:rPr>
      </w:pPr>
      <w:r>
        <w:rPr>
          <w:rFonts w:eastAsia="Times New Roman" w:cs="Times New Roman"/>
          <w:b/>
          <w:bCs/>
          <w:sz w:val="22"/>
          <w:szCs w:val="22"/>
          <w:lang w:eastAsia="sk-SK"/>
          <w14:ligatures w14:val="none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720" w:right="720" w:gutter="0" w:header="709" w:top="766" w:footer="0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uiPriority w:val="99"/>
    <w:qFormat/>
    <w:rPr>
      <w:sz w:val="28"/>
      <w:szCs w:val="28"/>
    </w:rPr>
  </w:style>
  <w:style w:type="character" w:styleId="Style8" w:customStyle="1">
    <w:name w:val="Нижний колонтитул Знак"/>
    <w:uiPriority w:val="99"/>
    <w:semiHidden/>
    <w:qFormat/>
    <w:rPr>
      <w:sz w:val="28"/>
      <w:szCs w:val="28"/>
    </w:rPr>
  </w:style>
  <w:style w:type="character" w:styleId="Style9" w:customStyle="1">
    <w:name w:val="Текст выноски Знак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1">
    <w:name w:val="index heading1"/>
    <w:basedOn w:val="Style10"/>
    <w:qFormat/>
    <w:pPr/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/>
      <w:sz w:val="16"/>
      <w:szCs w:val="16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8"/>
      <w:szCs w:val="28"/>
      <w:lang w:val="ru-RU" w:eastAsia="ru-RU" w:bidi="ar-SA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sz w:val="24"/>
      <w:szCs w:val="24"/>
    </w:rPr>
  </w:style>
  <w:style w:type="paragraph" w:styleId="Standard" w:customStyle="1">
    <w:name w:val="Standard"/>
    <w:qFormat/>
    <w:pPr>
      <w:keepNext w:val="false"/>
      <w:keepLines w:val="false"/>
      <w:pageBreakBefore w:val="false"/>
      <w:widowControl w:val="false"/>
      <w:shd w:val="nil" w:color="000000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Arial" w:hAnsi="Arial" w:eastAsia="Andale Sans UI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zh-CN" w:bidi="hi-IN"/>
      <w14:ligatures w14:val="none"/>
    </w:rPr>
  </w:style>
  <w:style w:type="numbering" w:styleId="Style13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LibreOffice/7.6.7.2$Linux_X86_64 LibreOffice_project/60$Build-2</Application>
  <AppVersion>15.0000</AppVersion>
  <DocSecurity>4</DocSecurity>
  <Pages>1</Pages>
  <Words>264</Words>
  <Characters>1902</Characters>
  <CharactersWithSpaces>2166</CharactersWithSpaces>
  <Paragraphs>9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2023-03-20T01:53:00Z</dcterms:created>
  <dc:creator>rudi</dc:creator>
  <dc:description/>
  <dc:language>ru-RU</dc:language>
  <cp:lastModifiedBy/>
  <dcterms:modified xsi:type="dcterms:W3CDTF">2026-02-20T14:26:18Z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