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eastAsia="Calibri"/>
          <w:b/>
          <w:bCs/>
          <w:szCs w:val="28"/>
        </w:rPr>
      </w:pPr>
      <w:r>
        <w:rPr>
          <w:rFonts w:cs="Tinos" w:ascii="Tinos" w:hAnsi="Tinos"/>
          <w:b w:val="false"/>
          <w:bCs/>
          <w:i/>
          <w:sz w:val="28"/>
          <w:szCs w:val="28"/>
        </w:rPr>
      </w:r>
    </w:p>
    <w:p>
      <w:pPr>
        <w:pStyle w:val="ConsPlusNormal"/>
        <w:jc w:val="left"/>
        <w:rPr>
          <w:rFonts w:ascii="Tinos" w:hAnsi="Tinos" w:eastAsia="Tinos" w:cs="Tinos"/>
          <w:b w:val="false"/>
          <w:bCs w:val="false"/>
          <w:i/>
          <w:i/>
          <w:i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</w:rPr>
        <w:t>Порядок подачи документов в Росреестр в электронном вид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е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Autospacing="0" w:after="0"/>
        <w:ind w:left="0" w:right="0" w:firstLine="709"/>
        <w:jc w:val="both"/>
        <w:rPr>
          <w:rFonts w:ascii="Times New Roman" w:hAnsi="Times New Roman" w:cs="Times New Roman"/>
          <w:b w:val="false"/>
          <w:bCs w:val="false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 xml:space="preserve">Управление Росреестра по Алтайскому краю напоминает, что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highlight w:val="white"/>
        </w:rPr>
        <w:t xml:space="preserve">01.03.2025 вступили в силу изменения в законодательство,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pacing w:val="-4"/>
          <w:sz w:val="28"/>
          <w:szCs w:val="28"/>
          <w:highlight w:val="white"/>
        </w:rPr>
        <w:t xml:space="preserve">согласно которым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highlight w:val="white"/>
        </w:rPr>
        <w:t>юридические лица представляют заявления о проведении учетно-регистрационных действий, а также прилагаемые к ним документы в орган регистрации прав только в форме электронных документов.</w:t>
      </w:r>
    </w:p>
    <w:p>
      <w:pPr>
        <w:pStyle w:val="Normal"/>
        <w:pBdr/>
        <w:spacing w:lineRule="atLeast" w:line="288" w:before="0" w:after="0"/>
        <w:ind w:left="0" w:right="0" w:firstLine="709"/>
        <w:jc w:val="both"/>
        <w:rPr>
          <w:rFonts w:ascii="Times New Roman" w:hAnsi="Times New Roman" w:cs="Times New Roman"/>
          <w:b w:val="false"/>
          <w:bCs w:val="false"/>
          <w:color w:val="292C2F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292C2F"/>
          <w:sz w:val="28"/>
          <w:szCs w:val="28"/>
        </w:rPr>
        <w:t xml:space="preserve">Для физических лиц обязательное обращение в Росреестр  в электронном виде предусмотрено только при регистрации договоров участия в долевом строительстве. Вместе с тем, физические лица могут предоставлять документы в Росреестр в электронном виде без каких-либо ограничений.   Для этого, за некоторыми исключениями, необходимо наличие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усиленной квалифицированной электронной подписи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pBdr/>
        <w:spacing w:lineRule="atLeast" w:line="288" w:before="0" w:after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Электронные документы могут быть представлены в форматах, предусмотренных законом (xml, pdf, pdf-A и т д.).</w:t>
      </w:r>
    </w:p>
    <w:p>
      <w:pPr>
        <w:pStyle w:val="Normal"/>
        <w:pBdr/>
        <w:spacing w:lineRule="atLeast" w:line="288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 xml:space="preserve">Например, для ДДУ необходим формат PDF-A, для технического и межевого планов, акта обследования - XML.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В отдельных случаях – возможно представить переведенные в электронный вид бумажные документы (электронное образы в формате pdf).</w:t>
      </w:r>
    </w:p>
    <w:p>
      <w:pPr>
        <w:pStyle w:val="Normal"/>
        <w:pBdr/>
        <w:spacing w:lineRule="atLeast" w:line="288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Если с заявлением обращается представитель физического или юридического лица – необходима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нотариально удостоверенная доверенность для подачи заявлений в Росреестр на лиц, имеющих право действовать по доверенности – нотариальная машиночитаемая доверенность (МЧД) , либо доверенность в в электронном виде, тождественность бумажному виду для которой установлена нотариусом с приложением файла подписи нотариуса. </w:t>
      </w:r>
    </w:p>
    <w:p>
      <w:pPr>
        <w:pStyle w:val="Normal"/>
        <w:pBdr/>
        <w:spacing w:lineRule="auto" w:line="240" w:before="0" w:afterAutospacing="0" w:after="0"/>
        <w:ind w:left="0" w:right="0" w:firstLine="709"/>
        <w:jc w:val="both"/>
        <w:rPr>
          <w:rFonts w:ascii="Times New Roman" w:hAnsi="Times New Roman" w:cs="Times New Roman"/>
          <w:b w:val="false"/>
          <w:bCs w:val="false"/>
          <w:i/>
          <w:i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</w:rPr>
        <w:t xml:space="preserve">Важное правило при подаче документов в Росреестр –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кто документы подписал, того лица и должна быть приложена электронная подпись.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 w:themeColor="text1"/>
          <w:sz w:val="28"/>
          <w:szCs w:val="28"/>
        </w:rPr>
        <w:t xml:space="preserve"> Если документы удостоверил  нотариус- подпись нотариуса, по договору купли-продажи – подписи продавца и покупателя, к судебному акту – подпись судьи и т.д.</w:t>
      </w:r>
      <w:r>
        <w:rPr>
          <w:rFonts w:eastAsia="Times New Roman" w:cs="Times New Roman" w:ascii="Times New Roman" w:hAnsi="Times New Roman"/>
          <w:b w:val="false"/>
          <w:bCs w:val="false"/>
          <w:i/>
          <w:color w:val="000000" w:themeColor="text1"/>
          <w:sz w:val="28"/>
          <w:szCs w:val="28"/>
        </w:rPr>
        <w:t xml:space="preserve"> </w:t>
      </w:r>
    </w:p>
    <w:p>
      <w:pPr>
        <w:pStyle w:val="Normal"/>
        <w:pBdr/>
        <w:spacing w:lineRule="auto" w:line="240" w:before="0" w:afterAutospacing="0" w:after="0"/>
        <w:ind w:left="0" w:right="0" w:firstLine="709"/>
        <w:jc w:val="both"/>
        <w:rPr>
          <w:rFonts w:ascii="Times New Roman" w:hAnsi="Times New Roman" w:cs="Times New Roman"/>
          <w:b w:val="false"/>
          <w:bCs w:val="false"/>
          <w:i/>
          <w:i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color w:val="000000" w:themeColor="text1"/>
          <w:sz w:val="28"/>
          <w:szCs w:val="28"/>
        </w:rPr>
        <w:t>Оплатить государственную пошлину также можно с помощью электронных  платежных систем кредитных организаций по УИНу, который предоставляется заявителю после подачи документов в  электронном виде.</w:t>
      </w:r>
    </w:p>
    <w:p>
      <w:pPr>
        <w:pStyle w:val="Normal"/>
        <w:pBdr/>
        <w:spacing w:lineRule="auto" w:line="240" w:beforeAutospacing="0" w:before="0" w:afterAutospacing="0" w:after="0"/>
        <w:ind w:left="0" w:righ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>Получить электронную подпись юридические лица могут в офисах ФНС (бесплатно). Физические лица - в удостоверяющих центрах, на электронных площадках, как правило, это облачные подписи, на электронных площадках кредитных организаций. В отдельных случаях достаточно Г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осключа, полученного бесплатно на ЕПГУ. </w:t>
      </w:r>
    </w:p>
    <w:p>
      <w:pPr>
        <w:pStyle w:val="Normal"/>
        <w:pBdr/>
        <w:spacing w:lineRule="auto" w:line="240" w:before="0" w:afterAutospacing="0" w:after="0"/>
        <w:ind w:left="0" w:righ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 xml:space="preserve">В случае поступления в Росреестр в бумажном виде заявлений и документов, для которых предусмотрено обязательное предоставление в электронной форме, государственным регистратором будет принято решение о возврате документов без рассмотрения.   </w:t>
      </w:r>
    </w:p>
    <w:p>
      <w:pPr>
        <w:pStyle w:val="Normal"/>
        <w:pBdr/>
        <w:spacing w:lineRule="atLeast" w:line="288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В свою очередь,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перед совершением электронной сделки по переходу, прекращению права собственности  на объекты недвижимости, либо по уступке прав по договору  участия в долевом строительстве физическому лицу или его представителю (при наличии соответствующих полномочий) необходимо обратиться в МФЦ с заявлением о  возможности представления  в Росреестр документов в  электронном виде. </w:t>
      </w:r>
    </w:p>
    <w:p>
      <w:pPr>
        <w:pStyle w:val="Normal"/>
        <w:pBdr/>
        <w:spacing w:lineRule="atLeast" w:line="288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Отсутствие в ЕГРН записи о возможности регистрации на основании электронных документов, является основанием для возврата без рассмотрения заявлений  о регистрации перехода, прекращения права собственности на соответствующий объект недвижимости или сделки об уступке прав по договору участия в долевом строительстве.</w:t>
      </w:r>
    </w:p>
    <w:p>
      <w:pPr>
        <w:pStyle w:val="Normal"/>
        <w:spacing w:lineRule="auto" w:line="240" w:before="0" w:afterAutospacing="0" w:after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 портале услуг Росреестра размещено руководство пользователя с описанием алгоритма действий заявителей по каждому виду услуги.</w:t>
      </w:r>
    </w:p>
    <w:p>
      <w:pPr>
        <w:pStyle w:val="NormalWeb"/>
        <w:spacing w:beforeAutospacing="0" w:before="0" w:afterAutospacing="0" w:after="0"/>
        <w:ind w:left="0" w:right="0" w:firstLine="709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highlight w:val="none"/>
        </w:rPr>
      </w:pPr>
      <w:r>
        <w:rPr>
          <w:rFonts w:eastAsia="Times New Roman" w:cs="Times New Roman"/>
          <w:i w:val="false"/>
          <w:iCs w:val="false"/>
          <w:sz w:val="28"/>
          <w:szCs w:val="28"/>
        </w:rPr>
        <w:t>Напоминаем, что срок проведения учетно-регистрационных действий по электронным заявлениям в отношении объектов недвижимости, расположенных на территории Алтайского края, составляет 1 рабочий день, при условии оплаты государственной полины и отсутствии замечаний.</w:t>
      </w:r>
    </w:p>
    <w:p>
      <w:pPr>
        <w:pStyle w:val="NormalWeb"/>
        <w:spacing w:beforeAutospacing="0" w:before="0" w:afterAutospacing="0" w:after="0"/>
        <w:ind w:left="0" w:right="0" w:firstLine="709"/>
        <w:jc w:val="both"/>
        <w:rPr>
          <w:bCs w:val="false"/>
          <w:i w:val="false"/>
          <w:i w:val="false"/>
          <w:sz w:val="28"/>
          <w:szCs w:val="28"/>
          <w:highlight w:val="none"/>
        </w:rPr>
      </w:pPr>
      <w:r>
        <w:rPr>
          <w:bCs w:val="false"/>
          <w:i w:val="false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/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qFormat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6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semiHidden/>
    <w:unhideWhenUsed/>
    <w:rPr>
      <w:strike w:val="false"/>
      <w:dstrike w:val="false"/>
      <w:color w:val="28529D"/>
      <w:u w:val="none"/>
    </w:rPr>
  </w:style>
  <w:style w:type="character" w:styleId="Style7" w:customStyle="1">
    <w:name w:val="Текст сноски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>
    <w:name w:val="Символ сноски"/>
    <w:uiPriority w:val="99"/>
    <w:qFormat/>
    <w:rPr>
      <w:vertAlign w:val="superscript"/>
    </w:rPr>
  </w:style>
  <w:style w:type="character" w:styleId="Style9">
    <w:name w:val="Footnote Reference"/>
    <w:rPr>
      <w:vertAlign w:val="superscript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FontStyle18" w:customStyle="1">
    <w:name w:val="Font Style18"/>
    <w:basedOn w:val="DefaultParagraphFont"/>
    <w:uiPriority w:val="99"/>
    <w:qFormat/>
    <w:rPr>
      <w:rFonts w:ascii="Times New Roman" w:hAnsi="Times New Roman" w:cs="Times New Roman"/>
      <w:sz w:val="26"/>
      <w:szCs w:val="26"/>
    </w:rPr>
  </w:style>
  <w:style w:type="character" w:styleId="41" w:customStyle="1">
    <w:name w:val="Заголовок 4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7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8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9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0">
    <w:name w:val="Index Heading"/>
    <w:basedOn w:val="Style12"/>
    <w:pPr/>
    <w:rPr/>
  </w:style>
  <w:style w:type="paragraph" w:styleId="Style21">
    <w:name w:val="TOC Heading"/>
    <w:uiPriority w:val="39"/>
    <w:unhideWhenUsed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onsPlusNormal" w:customStyle="1">
    <w:name w:val="ConsPlusNormal"/>
    <w:uiPriority w:val="99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eastAsia="ru-RU" w:val="ru-RU" w:bidi="ar-SA"/>
    </w:rPr>
  </w:style>
  <w:style w:type="paragraph" w:styleId="Style22">
    <w:name w:val="Footnote Text"/>
    <w:basedOn w:val="Normal"/>
    <w:uiPriority w:val="99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pPr>
      <w:spacing w:before="0" w:after="200"/>
      <w:ind w:left="720" w:hanging="0"/>
      <w:contextualSpacing/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pBdr/>
      <w:shd w:val="nil" w:color="000000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Andale Sans UI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hi-IN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7B263-9CA5-4C9C-8503-7BAB1380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LibreOffice/7.5.6.2$Linux_X86_64 LibreOffice_project/50$Build-2</Application>
  <AppVersion>15.0000</AppVersion>
  <Pages>2</Pages>
  <Words>449</Words>
  <Characters>3155</Characters>
  <CharactersWithSpaces>3616</CharactersWithSpaces>
  <Paragraphs>14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2024-01-15T02:29:00Z</dcterms:created>
  <dc:creator>Хайрутдинова Ольга Анатольевна</dc:creator>
  <dc:description/>
  <dc:language>ru-RU</dc:language>
  <cp:lastModifiedBy/>
  <dcterms:modified xsi:type="dcterms:W3CDTF">2025-10-07T11:42:46Z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