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3</w:t>
      </w:r>
      <w:r>
        <w:rPr>
          <w:rFonts w:eastAsia="Times New Roman" w:cs="Times New Roman"/>
          <w:bCs/>
          <w:sz w:val="28"/>
          <w:szCs w:val="28"/>
        </w:rPr>
        <w:t>0.05.2025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hyperlink r:id="rId3" w:tgtFrame="https://rkc56.ru/documents/6948">
        <w:r>
          <w:rPr>
            <w:rStyle w:val="-"/>
            <w:rFonts w:eastAsia="Times New Roman" w:cs="Times New Roman" w:ascii="Times New Roman" w:hAnsi="Times New Roman"/>
            <w:b/>
            <w:color w:val="000000" w:themeColor="text1"/>
            <w:sz w:val="28"/>
            <w:szCs w:val="28"/>
            <w:u w:val="single"/>
          </w:rPr>
          <w:t>Федеральный закон от 26.12.2024 № 487-ФЗ</w:t>
        </w:r>
      </w:hyperlink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права, а также выкупить участок под зданием и сооружением, который находится в вашей собственности и многие другие.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Одна из норм внесла важные изменения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в процедуру оформления ранее учтенных объектов недвижимости. 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С указанной даты внесение в Единый государственный реестр недвижимости (ЕГРН) сведений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технического плана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или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межевого плана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Ранее учтенные объекты недвижимости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Исключение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требуется представление межевого плана и технического плана).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С 1 марта 2025 года отсутствие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приостановлении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в проведении учетно-регистрационных действий.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kc56.ru/documents/6948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278</Words>
  <Characters>1934</Characters>
  <CharactersWithSpaces>2283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2025-06-11T15:54:17Z</dcterms:modified>
  <cp:revision>4</cp:revision>
  <dc:subject/>
  <dc:title/>
</cp:coreProperties>
</file>