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708"/>
        <w:jc w:val="right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  <w:t>24.10.2025</w:t>
      </w:r>
    </w:p>
    <w:p>
      <w:pPr>
        <w:pStyle w:val="NoSpacing"/>
        <w:ind w:firstLine="708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highlight w:val="white"/>
        </w:rPr>
        <w:t>Управление Росреестра по Алтайскому краю активно занимается обследованием пунктов государственных геодезических и нивелирных сетей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highlight w:val="white"/>
        </w:rPr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В соответствии с планом-графиком работ по обследованию пунктов государственных геодезической и нивелирной сетей на 2025 год, разработанным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  <w:t>Управление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м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>Росреестра по Алтайскому краю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запланировано обследование 411 геодезических пунктов. Из них 75 пунктов относятся к государственной геодезической сети (ГГС) и 336 — к государственной нивелирной сети (ГНС).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Согласно Плану-графику, в III квартале 2025 планировалось обследовать 38 пунктов ГГС и 168 пунктов ГНС.  Управление перевыполнило план, обследовав </w:t>
        <w:br/>
        <w:t>в III квартале 200 пунктов ГГС и 172 пунктов ГНС.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</w:rPr>
        <w:t xml:space="preserve">Основное назначение пунктов ГГС заключается в том, чтобы установить </w:t>
        <w:br/>
        <w:t xml:space="preserve">и распространить единую государственную систему координат на всей территории страны.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i/>
          <w:i/>
          <w:iCs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highlight w:val="white"/>
        </w:rPr>
        <w:t>Геодезические пункты используются для:</w:t>
      </w:r>
    </w:p>
    <w:p>
      <w:pPr>
        <w:pStyle w:val="NoSpacing"/>
        <w:numPr>
          <w:ilvl w:val="0"/>
          <w:numId w:val="1"/>
        </w:numPr>
        <w:spacing w:before="0" w:after="0"/>
        <w:ind w:hanging="360" w:left="1417"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</w:rPr>
        <w:t>картографирования территории РФ и окружающих её морей; </w:t>
      </w:r>
    </w:p>
    <w:p>
      <w:pPr>
        <w:pStyle w:val="NoSpacing"/>
        <w:numPr>
          <w:ilvl w:val="0"/>
          <w:numId w:val="1"/>
        </w:numPr>
        <w:spacing w:before="0" w:after="0"/>
        <w:ind w:hanging="360" w:left="1417"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</w:rPr>
        <w:t>изучения земельных и природных ресурсов, кадастра, строительства; </w:t>
      </w:r>
    </w:p>
    <w:p>
      <w:pPr>
        <w:pStyle w:val="NoSpacing"/>
        <w:numPr>
          <w:ilvl w:val="0"/>
          <w:numId w:val="1"/>
        </w:numPr>
        <w:spacing w:before="0" w:after="0"/>
        <w:ind w:hanging="360" w:left="1417"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</w:rPr>
        <w:t>изучения поверхности Земли и геодинамических явлений; </w:t>
      </w:r>
    </w:p>
    <w:p>
      <w:pPr>
        <w:pStyle w:val="NoSpacing"/>
        <w:numPr>
          <w:ilvl w:val="0"/>
          <w:numId w:val="1"/>
        </w:numPr>
        <w:spacing w:before="0" w:after="0"/>
        <w:ind w:hanging="360" w:left="1417" w:right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</w:rPr>
        <w:t>снабжения исходными геодезическими данными средств наземной, морской и аэрокосмической навигации; </w:t>
      </w:r>
    </w:p>
    <w:p>
      <w:pPr>
        <w:pStyle w:val="NoSpacing"/>
        <w:numPr>
          <w:ilvl w:val="0"/>
          <w:numId w:val="1"/>
        </w:numPr>
        <w:spacing w:before="0" w:after="0"/>
        <w:ind w:hanging="360" w:left="1417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</w:rPr>
        <w:t>метрологического обеспечения высокоточных технических средств определения местоположения и ориентирования.</w:t>
      </w:r>
    </w:p>
    <w:p>
      <w:pPr>
        <w:pStyle w:val="NoSpacing"/>
        <w:ind w:hanging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</w:rPr>
        <w:tab/>
        <w:t>Государственная геодезическая сеть (ГГС) представляет собой совокупность геодезических пунктов, расположенных равномерно по всей территории страны и закреплённых на местности специальными центрами, обеспечивающими их сохранность и устойчивость в плане и по высоте в течение длительного времени.</w:t>
      </w:r>
    </w:p>
    <w:p>
      <w:pPr>
        <w:pStyle w:val="NoSpacing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auto"/>
          <w:sz w:val="28"/>
          <w:szCs w:val="28"/>
          <w:highlight w:val="white"/>
        </w:rPr>
        <w:t xml:space="preserve">Работы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</w:rPr>
        <w:t>по обследованию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highlight w:val="white"/>
        </w:rPr>
        <w:t xml:space="preserve">пунктов государственных геодезической </w:t>
        <w:br/>
        <w:t xml:space="preserve">и нивелирной сетей </w:t>
      </w:r>
      <w:r>
        <w:rPr>
          <w:rFonts w:cs="Times New Roman" w:ascii="Times New Roman" w:hAnsi="Times New Roman"/>
          <w:i w:val="false"/>
          <w:iCs w:val="false"/>
          <w:color w:val="auto"/>
          <w:sz w:val="28"/>
          <w:szCs w:val="28"/>
          <w:highlight w:val="white"/>
        </w:rPr>
        <w:t xml:space="preserve">продолжаются. </w:t>
      </w:r>
    </w:p>
    <w:sectPr>
      <w:type w:val="nextPage"/>
      <w:pgSz w:w="11906" w:h="16838"/>
      <w:pgMar w:left="1083" w:right="850" w:gutter="0" w:header="0" w:top="1134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–"/>
      <w:lvlJc w:val="left"/>
      <w:pPr>
        <w:tabs>
          <w:tab w:val="num" w:pos="0"/>
        </w:tabs>
        <w:ind w:left="1417" w:hanging="360"/>
      </w:pPr>
      <w:rPr>
        <w:rFonts w:ascii="Arial" w:hAnsi="Arial" w:cs="Aria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2137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857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3577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4297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5017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737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6457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717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DocSecurity>4</DocSecurity>
  <Pages>1</Pages>
  <Words>200</Words>
  <Characters>1464</Characters>
  <CharactersWithSpaces>1658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2023-04-14T08:20:00Z</dcterms:created>
  <dc:creator>Иванов Сергей Иванович</dc:creator>
  <dc:description/>
  <dc:language>ru-RU</dc:language>
  <cp:lastModifiedBy/>
  <dcterms:modified xsi:type="dcterms:W3CDTF">2025-10-24T10:11:40Z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