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drawing>
          <wp:inline distT="0" distB="0" distL="0" distR="0">
            <wp:extent cx="1984375" cy="7296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984375" cy="729615"/>
                    </a:xfrm>
                    <a:prstGeom prst="rect">
                      <a:avLst/>
                    </a:prstGeom>
                  </pic:spPr>
                </pic:pic>
              </a:graphicData>
            </a:graphic>
          </wp:inline>
        </w:drawing>
      </w:r>
      <w:r>
        <w:rPr/>
        <w:t xml:space="preserve">                                                                                                                                        </w:t>
      </w:r>
    </w:p>
    <w:p>
      <w:pPr>
        <w:pStyle w:val="Normal"/>
        <w:ind w:firstLine="709"/>
        <w:jc w:val="right"/>
        <w:rPr>
          <w:rFonts w:ascii="Times New Roman" w:hAnsi="Times New Roman" w:cs="Times New Roman"/>
          <w:b/>
          <w:bCs/>
          <w:sz w:val="28"/>
          <w:szCs w:val="28"/>
          <w:highlight w:val="none"/>
        </w:rPr>
      </w:pPr>
      <w:r>
        <w:rPr>
          <w:b/>
          <w:bCs/>
        </w:rPr>
      </w:r>
    </w:p>
    <w:p>
      <w:pPr>
        <w:pStyle w:val="Normal"/>
        <w:spacing w:lineRule="auto" w:line="240" w:before="0" w:after="0"/>
        <w:ind w:hanging="0"/>
        <w:jc w:val="left"/>
        <w:rPr>
          <w:b/>
          <w:bCs/>
          <w:highlight w:val="none"/>
        </w:rPr>
      </w:pPr>
      <w:r>
        <w:rPr>
          <w:b/>
        </w:rPr>
        <w:t>Управление Росреестра по Алтайскому краю информирует о лицензировании</w:t>
      </w:r>
    </w:p>
    <w:p>
      <w:pPr>
        <w:pStyle w:val="Normal"/>
        <w:spacing w:lineRule="auto" w:line="240" w:before="0" w:after="0"/>
        <w:ind w:firstLine="709"/>
        <w:jc w:val="both"/>
        <w:rPr/>
      </w:pPr>
      <w:r>
        <w:rPr/>
      </w:r>
    </w:p>
    <w:p>
      <w:pPr>
        <w:pStyle w:val="Normal"/>
        <w:spacing w:lineRule="auto" w:line="240" w:before="0" w:after="0"/>
        <w:ind w:firstLine="709"/>
        <w:jc w:val="both"/>
        <w:rPr/>
      </w:pPr>
      <w:r>
        <w:rPr/>
        <w:t xml:space="preserve">Для выполнения работ </w:t>
      </w:r>
      <w:r>
        <w:rPr>
          <w:i/>
        </w:rPr>
        <w:t xml:space="preserve">по установлению и изменению границ зон с особыми условиями использования территории </w:t>
      </w:r>
      <w:r>
        <w:rPr>
          <w:i/>
          <w:u w:val="single"/>
        </w:rPr>
        <w:t>требуется лицензия на осуществление геодезической и картографической деятельности</w:t>
      </w:r>
      <w:r>
        <w:rPr/>
        <w:t xml:space="preserve">. </w:t>
      </w:r>
    </w:p>
    <w:p>
      <w:pPr>
        <w:pStyle w:val="Normal"/>
        <w:spacing w:lineRule="auto" w:line="240" w:before="0" w:after="0"/>
        <w:ind w:firstLine="709"/>
        <w:jc w:val="both"/>
        <w:rPr/>
      </w:pPr>
      <w:r>
        <w:rPr/>
        <w:t>Оказание государственной услуги по лицензированию геодезической и картографической деятельности осуществляет Росреестр и его территориальные органы. Требования к соискателю л</w:t>
      </w:r>
      <w:bookmarkStart w:id="0" w:name="_GoBack"/>
      <w:bookmarkEnd w:id="0"/>
      <w:r>
        <w:rPr/>
        <w:t>ицензии, лицензиату установлены Положением о лицензировании геодезической и картографической деятельности, утвержденным постановлением Правительства РФ от 28.07.2020 № 1126.</w:t>
      </w:r>
    </w:p>
    <w:p>
      <w:pPr>
        <w:pStyle w:val="Normal"/>
        <w:spacing w:lineRule="auto" w:line="240" w:before="0" w:after="0"/>
        <w:ind w:firstLine="709"/>
        <w:jc w:val="both"/>
        <w:rPr/>
      </w:pPr>
      <w:r>
        <w:rPr/>
        <w:t xml:space="preserve">Заявления о предоставлении лицензии, внесение изменений в реестр лицензий и прилагаемые к ним документы направляются в лицензирующий орган посредством формы-концентратора на Едином портале государственных и муниципальных услуг (функций): </w:t>
      </w:r>
      <w:hyperlink r:id="rId3" w:tgtFrame="https://www.gosuslugi.ru/621742/1/form">
        <w:r>
          <w:rPr>
            <w:rStyle w:val="-"/>
          </w:rPr>
          <w:t>получение лицензии</w:t>
        </w:r>
      </w:hyperlink>
      <w:r>
        <w:rPr/>
        <w:t>.</w:t>
      </w:r>
    </w:p>
    <w:p>
      <w:pPr>
        <w:pStyle w:val="Normal"/>
        <w:spacing w:lineRule="auto" w:line="240" w:before="0" w:after="0"/>
        <w:ind w:firstLine="709"/>
        <w:jc w:val="both"/>
        <w:rPr/>
      </w:pPr>
      <w:r>
        <w:rPr/>
        <w:t>За предоставление лицензии, внесение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spacing w:lineRule="auto" w:line="240" w:before="0" w:after="0"/>
        <w:ind w:firstLine="709"/>
        <w:jc w:val="both"/>
        <w:rPr/>
      </w:pPr>
      <w:r>
        <w:rPr/>
        <w:t xml:space="preserve">В соответствии с подпунктом 92 п. 1 ст. 333.33 Налогового кодекса Российской Федерации размеры государственных пошлин составляют: </w:t>
      </w:r>
    </w:p>
    <w:p>
      <w:pPr>
        <w:pStyle w:val="Normal"/>
        <w:spacing w:lineRule="auto" w:line="240" w:before="0" w:after="0"/>
        <w:ind w:firstLine="709"/>
        <w:jc w:val="both"/>
        <w:rPr/>
      </w:pPr>
      <w:r>
        <w:rPr/>
        <w:t>за предоставление лицензии – 7500 рублей;</w:t>
      </w:r>
    </w:p>
    <w:p>
      <w:pPr>
        <w:pStyle w:val="Normal"/>
        <w:spacing w:lineRule="auto" w:line="240" w:before="0" w:after="0"/>
        <w:ind w:firstLine="709"/>
        <w:jc w:val="both"/>
        <w:rPr/>
      </w:pPr>
      <w:r>
        <w:rPr/>
        <w:t>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 3500 рублей;</w:t>
      </w:r>
    </w:p>
    <w:p>
      <w:pPr>
        <w:pStyle w:val="Normal"/>
        <w:spacing w:lineRule="auto" w:line="240" w:before="0" w:after="0"/>
        <w:ind w:firstLine="709"/>
        <w:jc w:val="both"/>
        <w:rPr/>
      </w:pPr>
      <w:r>
        <w:rPr/>
        <w:t>за внесение изменений в реестр лицензий на основании заявления о внесении изменений в реестр лицензий в других случаях – 750 рублей.</w:t>
      </w:r>
    </w:p>
    <w:p>
      <w:pPr>
        <w:pStyle w:val="Normal"/>
        <w:spacing w:lineRule="auto" w:line="240" w:before="0" w:after="0"/>
        <w:ind w:firstLine="709"/>
        <w:jc w:val="both"/>
        <w:rPr/>
      </w:pPr>
      <w:r>
        <w:rPr/>
        <w:t>Напоминаем о том, что ст. 14.1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за осуществление предпринимательской деятельности с нарушением требований и условий, предусмотренных специальным разрешением (лицензией).</w:t>
      </w:r>
    </w:p>
    <w:p>
      <w:pPr>
        <w:pStyle w:val="ListParagraph"/>
        <w:tabs>
          <w:tab w:val="clear" w:pos="708"/>
          <w:tab w:val="left" w:pos="1134" w:leader="none"/>
        </w:tabs>
        <w:spacing w:lineRule="auto" w:line="240" w:before="0" w:after="0"/>
        <w:ind w:left="0" w:firstLine="709"/>
        <w:contextualSpacing/>
        <w:jc w:val="both"/>
        <w:rPr>
          <w:highlight w:val="none"/>
        </w:rPr>
      </w:pPr>
      <w:r>
        <w:rPr/>
        <w:t>Вся информация, необходимая для получения государственной услуги по лицензированию геодезической и картографической деятельности, размещена на сайте Росреестра в разделе «Деятельность» – «Геодезия и картография» – Лицензирование геодезической и картографической деятельности» (</w:t>
      </w:r>
      <w:hyperlink r:id="rId4" w:tgtFrame="https://rosreestr.gov.ru/activity/geodeziya-i-kartografiya/litsenzirovanie-geodezicheskoy-i-kartograficheskoy-deyatelnosti/">
        <w:r>
          <w:rPr>
            <w:rStyle w:val="-"/>
          </w:rPr>
          <w:t>Информация для получения лицензии</w:t>
        </w:r>
      </w:hyperlink>
      <w:r>
        <w:rPr/>
        <w:t>).</w:t>
      </w:r>
    </w:p>
    <w:p>
      <w:pPr>
        <w:pStyle w:val="ListParagraph"/>
        <w:tabs>
          <w:tab w:val="clear" w:pos="708"/>
          <w:tab w:val="left" w:pos="1134" w:leader="none"/>
        </w:tabs>
        <w:spacing w:lineRule="auto" w:line="240" w:before="0" w:after="0"/>
        <w:ind w:left="0" w:hanging="0"/>
        <w:contextualSpacing/>
        <w:jc w:val="both"/>
        <w:rPr/>
      </w:pPr>
      <w:r>
        <w:rPr/>
      </w:r>
    </w:p>
    <w:p>
      <w:pPr>
        <w:pStyle w:val="ListParagraph"/>
        <w:tabs>
          <w:tab w:val="clear" w:pos="708"/>
          <w:tab w:val="left" w:pos="1134" w:leader="none"/>
        </w:tabs>
        <w:spacing w:lineRule="auto" w:line="240" w:before="0" w:after="0"/>
        <w:ind w:left="0" w:hanging="0"/>
        <w:contextualSpacing/>
        <w:jc w:val="both"/>
        <w:rPr>
          <w:highlight w:val="none"/>
        </w:rPr>
      </w:pPr>
      <w:r>
        <w:rPr/>
      </w:r>
    </w:p>
    <w:sectPr>
      <w:type w:val="nextPage"/>
      <w:pgSz w:w="11906" w:h="16838"/>
      <w:pgMar w:left="720" w:right="720" w:gutter="0" w:header="0" w:top="720" w:footer="0" w:bottom="72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rPr>
  </w:style>
  <w:style w:type="character" w:styleId="Style9">
    <w:name w:val="FollowedHyperlink"/>
    <w:basedOn w:val="DefaultParagraphFont"/>
    <w:uiPriority w:val="99"/>
    <w:semiHidden/>
    <w:unhideWhenUsed/>
    <w:rPr>
      <w:color w:val="800080" w:themeColor="followedHyperlink"/>
      <w:u w:val="single"/>
    </w:rPr>
  </w:style>
  <w:style w:type="paragraph" w:styleId="Style10">
    <w:name w:val="Заголовок"/>
    <w:basedOn w:val="Normal"/>
    <w:next w:val="Style11"/>
    <w:qFormat/>
    <w:pPr>
      <w:keepNext w:val="true"/>
      <w:spacing w:before="240" w:after="120"/>
    </w:pPr>
    <w:rPr>
      <w:rFonts w:ascii="PT Astra Serif" w:hAnsi="PT Astra Serif" w:eastAsia="Microsoft YaHei" w:cs="Mang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Mangal"/>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ascii="PT Astra Serif" w:hAnsi="PT Astra Serif" w:cs="Mangal"/>
    </w:rPr>
  </w:style>
  <w:style w:type="paragraph" w:styleId="NoSpacing">
    <w:name w:val="No Spacing"/>
    <w:uiPriority w:val="1"/>
    <w:qFormat/>
    <w:pPr>
      <w:widowControl/>
      <w:bidi w:val="0"/>
      <w:spacing w:lineRule="auto" w:line="240" w:beforeAutospacing="0" w:before="0" w:afterAutospacing="0" w:after="0"/>
      <w:jc w:val="left"/>
    </w:pPr>
    <w:rPr>
      <w:rFonts w:ascii="Times New Roman" w:hAnsi="Times New Roman" w:eastAsia="Calibri" w:cs="Times New Roman" w:eastAsiaTheme="minorHAnsi"/>
      <w:color w:val="auto"/>
      <w:kern w:val="0"/>
      <w:sz w:val="28"/>
      <w:szCs w:val="28"/>
      <w:lang w:val="ru-RU" w:eastAsia="en-US" w:bidi="ar-SA"/>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bidi w:val="0"/>
      <w:spacing w:lineRule="auto" w:line="276" w:beforeAutospacing="0" w:before="0" w:afterAutospacing="0" w:after="200"/>
      <w:jc w:val="left"/>
    </w:pPr>
    <w:rPr>
      <w:rFonts w:ascii="Times New Roman" w:hAnsi="Times New Roman" w:eastAsia="Calibri" w:cs="Times New Roman" w:eastAsiaTheme="minorHAnsi"/>
      <w:color w:val="auto"/>
      <w:kern w:val="0"/>
      <w:sz w:val="28"/>
      <w:szCs w:val="28"/>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0" w:after="200"/>
      <w:ind w:left="720" w:hanging="0"/>
      <w:contextualSpacing/>
    </w:pPr>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621742/1/form" TargetMode="External"/><Relationship Id="rId4" Type="http://schemas.openxmlformats.org/officeDocument/2006/relationships/hyperlink" Target="https://rosreestr.gov.ru/activity/geodeziya-i-kartografiya/litsenzirovanie-geodezicheskoy-i-kartograficheskoy-deyatelnosti/"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24</TotalTime>
  <Application>LibreOffice/7.5.6.2$Linux_X86_64 LibreOffice_project/50$Build-2</Application>
  <AppVersion>15.0000</AppVersion>
  <Pages>1</Pages>
  <Words>275</Words>
  <Characters>2131</Characters>
  <CharactersWithSpaces>2538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2024-02-05T03:19:00Z</dcterms:created>
  <dc:creator>Гергет Евгений Викторович</dc:creator>
  <dc:description/>
  <dc:language>ru-RU</dc:language>
  <cp:lastModifiedBy/>
  <dcterms:modified xsi:type="dcterms:W3CDTF">2025-06-19T10:39:12Z</dcterms:modified>
  <cp:revision>10</cp:revision>
  <dc:subject/>
  <dc:title/>
</cp:coreProperties>
</file>