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rPr/>
      </w:pPr>
      <w:r>
        <w:rPr>
          <w:rFonts w:eastAsia="Calibri"/>
          <w:b/>
          <w:bCs/>
          <w:szCs w:val="28"/>
        </w:rPr>
        <w:t xml:space="preserve">  </w:t>
      </w:r>
      <w:r>
        <w:rPr/>
        <w:drawing>
          <wp:inline distT="0" distB="0" distL="0" distR="0">
            <wp:extent cx="1981200" cy="73342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b/>
          <w:bCs/>
          <w:szCs w:val="28"/>
        </w:rPr>
        <w:t xml:space="preserve">                                                                      </w:t>
      </w:r>
    </w:p>
    <w:p>
      <w:pPr>
        <w:pStyle w:val="Standard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</w:r>
    </w:p>
    <w:p>
      <w:pPr>
        <w:pStyle w:val="Standard"/>
        <w:jc w:val="right"/>
        <w:rPr/>
      </w:pPr>
      <w:r>
        <w:rPr>
          <w:rFonts w:eastAsia="Calibri"/>
          <w:b/>
          <w:bCs/>
          <w:sz w:val="32"/>
          <w:szCs w:val="28"/>
        </w:rPr>
        <w:t>ПРЕСС-РЕЛИЗ</w:t>
      </w:r>
    </w:p>
    <w:p>
      <w:pPr>
        <w:pStyle w:val="Standard"/>
        <w:jc w:val="right"/>
        <w:rPr/>
      </w:pPr>
      <w:r>
        <w:rPr>
          <w:rFonts w:eastAsia="Calibri"/>
          <w:bCs/>
          <w:szCs w:val="28"/>
        </w:rPr>
        <w:t>20</w:t>
      </w:r>
      <w:r>
        <w:rPr>
          <w:rFonts w:eastAsia="Calibri"/>
          <w:bCs/>
          <w:szCs w:val="28"/>
        </w:rPr>
        <w:t>.01.2025</w:t>
      </w:r>
    </w:p>
    <w:p>
      <w:pPr>
        <w:pStyle w:val="Standard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jc w:val="left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Наиболее характерные основания для приостановления учетно-регистрационных действий</w:t>
      </w:r>
    </w:p>
    <w:p>
      <w:pPr>
        <w:pStyle w:val="Normal"/>
        <w:widowControl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widowControl/>
        <w:spacing w:before="0" w:after="0"/>
        <w:ind w:firstLine="708"/>
        <w:contextualSpacing/>
        <w:jc w:val="both"/>
        <w:rPr>
          <w:sz w:val="28"/>
          <w:szCs w:val="28"/>
          <w:u w:val="single"/>
        </w:rPr>
      </w:pPr>
      <w:r>
        <w:rPr>
          <w:rFonts w:eastAsia="Times New Roman"/>
          <w:sz w:val="28"/>
          <w:szCs w:val="28"/>
        </w:rPr>
        <w:t xml:space="preserve">В результате анализа решений о приостановлении учетно-регистрационных действий за второе полугодие 2024 года установлено, что  </w:t>
      </w:r>
      <w:r>
        <w:rPr>
          <w:rFonts w:eastAsia="Times New Roman" w:cs="Times New Roman"/>
          <w:sz w:val="28"/>
          <w:szCs w:val="28"/>
          <w:lang w:eastAsia="ru-RU"/>
        </w:rPr>
        <w:t>наиболее распространенным основанием для приостановления государственной регистрации  является</w:t>
      </w:r>
      <w:r>
        <w:rPr>
          <w:rFonts w:eastAsia="Times New Roman"/>
          <w:sz w:val="28"/>
          <w:szCs w:val="28"/>
        </w:rPr>
        <w:t xml:space="preserve"> наличие в сведениях </w:t>
      </w:r>
      <w:r>
        <w:rPr>
          <w:sz w:val="28"/>
          <w:szCs w:val="28"/>
        </w:rPr>
        <w:t>Единого государственного реестра недвижимости (</w:t>
      </w:r>
      <w:r>
        <w:rPr>
          <w:rFonts w:eastAsia="Times New Roman"/>
          <w:sz w:val="28"/>
          <w:szCs w:val="28"/>
        </w:rPr>
        <w:t xml:space="preserve">далее – </w:t>
      </w:r>
      <w:r>
        <w:rPr>
          <w:sz w:val="28"/>
          <w:szCs w:val="28"/>
        </w:rPr>
        <w:t>ЕГРН)</w:t>
      </w:r>
      <w:r>
        <w:rPr>
          <w:rFonts w:eastAsia="Times New Roman"/>
          <w:sz w:val="28"/>
          <w:szCs w:val="28"/>
        </w:rPr>
        <w:t xml:space="preserve"> записи об ограничении (обременении) в виде ареста или запрета совершать определенные действия с недвижимым имуществом.  </w:t>
      </w:r>
      <w:r>
        <w:rPr>
          <w:bCs/>
          <w:sz w:val="28"/>
          <w:szCs w:val="28"/>
        </w:rPr>
        <w:t xml:space="preserve">Владелец недвижимости перед сдачей документов на государственную регистрацию может узнать информацию о принадлежащем ему объекте недвижимости, в том числе имеющихся  ограничениях (обременениях), с помощью сервиса Росреестра «Личный кабинет правообладателя», который размещен на главной странице сайта ведомства. Получить справочную информацию из ЕГРН об объектах недвижимости можно также с помощью бесплатного сервиса «Справочная информация по объектам недвижимости в режиме </w:t>
      </w:r>
      <w:r>
        <w:rPr>
          <w:bCs/>
          <w:sz w:val="28"/>
          <w:szCs w:val="28"/>
          <w:lang w:val="en-US"/>
        </w:rPr>
        <w:t>online</w:t>
      </w:r>
      <w:r>
        <w:rPr>
          <w:bCs/>
          <w:sz w:val="28"/>
          <w:szCs w:val="28"/>
        </w:rPr>
        <w:t>» на сайте Росреестра.</w:t>
      </w:r>
    </w:p>
    <w:p>
      <w:pPr>
        <w:pStyle w:val="Normal"/>
        <w:widowControl/>
        <w:spacing w:before="0" w:after="0"/>
        <w:ind w:firstLine="708"/>
        <w:contextualSpacing/>
        <w:jc w:val="both"/>
        <w:rPr>
          <w:rFonts w:eastAsia="Times New Roman"/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 xml:space="preserve">В случае, если в отношении  объекта недвижимости  имеются такие ограничения (обременения) </w:t>
      </w:r>
      <w:r>
        <w:rPr>
          <w:rFonts w:eastAsia="Times New Roman"/>
          <w:sz w:val="28"/>
          <w:szCs w:val="28"/>
          <w:u w:val="none"/>
        </w:rPr>
        <w:t>в виде ареста или запрета</w:t>
      </w:r>
      <w:r>
        <w:rPr>
          <w:sz w:val="28"/>
          <w:szCs w:val="28"/>
          <w:u w:val="none"/>
        </w:rPr>
        <w:t>, то собственнику необходимо обратиться в орган, наложивший такое ограничение, за  снятием.</w:t>
      </w:r>
    </w:p>
    <w:p>
      <w:pPr>
        <w:pStyle w:val="Normal"/>
        <w:widowControl/>
        <w:spacing w:before="0" w:after="0"/>
        <w:ind w:firstLine="708"/>
        <w:contextualSpacing/>
        <w:jc w:val="both"/>
        <w:rPr>
          <w:rFonts w:eastAsia="Times New Roman"/>
          <w:sz w:val="28"/>
          <w:szCs w:val="28"/>
          <w:highlight w:val="none"/>
        </w:rPr>
      </w:pPr>
      <w:r>
        <w:rPr>
          <w:rFonts w:eastAsia="Times New Roman"/>
          <w:sz w:val="28"/>
          <w:szCs w:val="28"/>
        </w:rPr>
        <w:t xml:space="preserve">Кроме того, </w:t>
      </w:r>
      <w:r>
        <w:rPr>
          <w:rFonts w:eastAsia="Times New Roman"/>
          <w:sz w:val="28"/>
          <w:szCs w:val="28"/>
        </w:rPr>
        <w:t xml:space="preserve"> основанием для принятия решений о приостановлении регистрации прав на недвижимое имущество являются наличие в ЕГРН актуальных записей об ограничении (обременении)  прав на объекты недвижимости в виде ипотеки. </w:t>
      </w:r>
    </w:p>
    <w:p>
      <w:pPr>
        <w:pStyle w:val="Normal"/>
        <w:widowControl/>
        <w:numPr>
          <w:ilvl w:val="0"/>
          <w:numId w:val="0"/>
        </w:numPr>
        <w:ind w:firstLine="708"/>
        <w:jc w:val="both"/>
        <w:outlineLvl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 переходе права собственности по договору или снятии объекта недвижимости с кадастрового учета собственнику необходимо убедиться                          об отсутствии в </w:t>
      </w:r>
      <w:r>
        <w:rPr>
          <w:sz w:val="28"/>
          <w:szCs w:val="28"/>
        </w:rPr>
        <w:t xml:space="preserve">ЕГРН актуальных сведений  </w:t>
      </w:r>
      <w:r>
        <w:rPr>
          <w:rFonts w:eastAsia="Times New Roman"/>
          <w:sz w:val="28"/>
          <w:szCs w:val="28"/>
        </w:rPr>
        <w:t>об ограничении (обременении) в виде ипотеки. В случае наличия такой записи предпринять меры для ее погашения                     до сдачи соответствующих документов в орган регистрации прав.</w:t>
      </w:r>
    </w:p>
    <w:p>
      <w:pPr>
        <w:pStyle w:val="Normal"/>
        <w:widowControl/>
        <w:spacing w:before="0" w:after="0"/>
        <w:ind w:firstLine="708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Порядок погашения регистрационной записи об ипотеке установлен в статье 25 Федерального закона  от 16.07.1998 N 102-ФЗ "Об ипотеке (залоге недвижимости)".</w:t>
      </w:r>
    </w:p>
    <w:p>
      <w:pPr>
        <w:pStyle w:val="Normal"/>
        <w:widowControl/>
        <w:spacing w:before="0" w:after="0"/>
        <w:ind w:firstLine="708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случае, если была выдана закладная,  для погашения записи об ипотеки                   в орган регистрации прав могут быть представлены: </w:t>
      </w:r>
    </w:p>
    <w:p>
      <w:pPr>
        <w:pStyle w:val="Normal"/>
        <w:widowControl/>
        <w:spacing w:before="0" w:after="0"/>
        <w:ind w:firstLine="708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совместное заявление залогодателя и законного владельца закладной                           с одновременным представлением документарной закладной или выписки по счету депо при условии, что документарная закладная обездвижена или выдавалась электронная закладная;</w:t>
      </w:r>
    </w:p>
    <w:p>
      <w:pPr>
        <w:pStyle w:val="Normal"/>
        <w:widowControl/>
        <w:spacing w:before="0" w:after="0"/>
        <w:ind w:firstLine="708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заявление законного владельца закладной с одновременным представлением документарной закладной или выписки по счету депо при условии,                                   что документарная закладная обездвижена или выдавалась электронная закладная;</w:t>
      </w:r>
    </w:p>
    <w:p>
      <w:pPr>
        <w:pStyle w:val="Normal"/>
        <w:widowControl/>
        <w:spacing w:before="0" w:after="0"/>
        <w:ind w:firstLine="708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заявление залогодателя с одновременным представлением документарной закладной, содержащей отметку владельца закладной об исполнении обеспеченного ипотекой обязательства в полном объеме.</w:t>
      </w:r>
    </w:p>
    <w:p>
      <w:pPr>
        <w:pStyle w:val="Normal"/>
        <w:widowControl/>
        <w:spacing w:before="0" w:after="0"/>
        <w:ind w:firstLine="708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случае, если закладная не выдавалась, в орган регистрации прав необходимо представить совместное заявление залогодателя и залогодержателя или только залогодержателя.</w:t>
      </w:r>
    </w:p>
    <w:p>
      <w:pPr>
        <w:pStyle w:val="Normal"/>
        <w:widowControl/>
        <w:spacing w:before="0" w:after="0"/>
        <w:ind w:firstLine="708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Регистрационная запись об ипотеке погашается также по решению суда                   или арбитражного суда о прекращении ипотеки.</w:t>
      </w:r>
    </w:p>
    <w:p>
      <w:pPr>
        <w:pStyle w:val="Normal"/>
        <w:widowControl/>
        <w:ind w:firstLine="708"/>
        <w:jc w:val="both"/>
        <w:rPr>
          <w:rFonts w:eastAsia="Calibri" w:eastAsiaTheme="minorHAnsi"/>
          <w:b/>
          <w:bCs/>
          <w:sz w:val="28"/>
          <w:szCs w:val="28"/>
          <w:highlight w:val="none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 xml:space="preserve">В случае, если </w:t>
      </w:r>
      <w:r>
        <w:rPr>
          <w:rFonts w:eastAsia="Times New Roman"/>
          <w:sz w:val="28"/>
          <w:szCs w:val="28"/>
        </w:rPr>
        <w:t>ограничение (обременение) в виде ипотеки переходит                        на покупателя, то необходимо представить в орган регистрации прав согласие залогодержателя, а также указать на наличие такого обременения в договоре                    об отчуждении недвижимого имущества.</w:t>
      </w:r>
    </w:p>
    <w:p>
      <w:pPr>
        <w:pStyle w:val="Normal"/>
        <w:widowControl/>
        <w:ind w:firstLine="708"/>
        <w:jc w:val="both"/>
        <w:rPr>
          <w:rFonts w:eastAsia="Calibri" w:eastAsiaTheme="minorHAnsi"/>
          <w:b/>
          <w:bCs/>
          <w:sz w:val="28"/>
          <w:szCs w:val="28"/>
          <w:lang w:eastAsia="en-US"/>
        </w:rPr>
      </w:pPr>
      <w:r>
        <w:rPr>
          <w:rFonts w:eastAsia="Calibri" w:eastAsiaTheme="minorHAnsi"/>
          <w:b/>
          <w:bCs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/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eastAsia="Times New Roman" w:cs="Times New Roman"/>
          <w:b/>
          <w:bCs/>
          <w:sz w:val="22"/>
          <w:szCs w:val="22"/>
          <w:lang w:eastAsia="sk-SK"/>
          <w14:ligatures w14:val="none"/>
        </w:rPr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eastAsia="Times New Roman" w:cs="Times New Roman"/>
          <w:b/>
          <w:bCs/>
          <w:sz w:val="22"/>
          <w:szCs w:val="22"/>
          <w:lang w:eastAsia="sk-SK"/>
          <w14:ligatures w14:val="none"/>
        </w:rPr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ind w:firstLine="3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ind w:firstLine="3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ind w:firstLine="3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bidi w:val="0"/>
      <w:spacing w:lineRule="auto" w:line="240" w:beforeAutospacing="0" w:before="0" w:afterAutospacing="0" w:after="0"/>
      <w:jc w:val="left"/>
    </w:pPr>
    <w:rPr>
      <w:rFonts w:ascii="Times New Roman" w:hAnsi="Times New Roman" w:eastAsia="Arial" w:cs="Times New Roman" w:eastAsiaTheme="minorEastAsia"/>
      <w:color w:val="auto"/>
      <w:kern w:val="0"/>
      <w:sz w:val="20"/>
      <w:szCs w:val="20"/>
      <w:lang w:eastAsia="ru-RU" w:val="ru-RU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-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6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7" w:customStyle="1">
    <w:name w:val="Текст сноски Знак"/>
    <w:basedOn w:val="DefaultParagraphFont"/>
    <w:uiPriority w:val="99"/>
    <w:semiHidden/>
    <w:qFormat/>
    <w:rPr>
      <w:rFonts w:ascii="Times New Roman" w:hAnsi="Times New Roman" w:eastAsia="Arial" w:cs="Times New Roman" w:eastAsiaTheme="minorEastAsia"/>
      <w:sz w:val="20"/>
      <w:szCs w:val="20"/>
      <w:lang w:eastAsia="ru-RU"/>
    </w:rPr>
  </w:style>
  <w:style w:type="character" w:styleId="Style8">
    <w:name w:val="Символ сноски"/>
    <w:unhideWhenUsed/>
    <w:qFormat/>
    <w:rPr>
      <w:vertAlign w:val="superscript"/>
    </w:rPr>
  </w:style>
  <w:style w:type="character" w:styleId="Style9">
    <w:name w:val="Footnote Reference"/>
    <w:rPr>
      <w:vertAlign w:val="superscript"/>
    </w:rPr>
  </w:style>
  <w:style w:type="character" w:styleId="21" w:customStyle="1">
    <w:name w:val="Основной текст (2)_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2" w:customStyle="1">
    <w:name w:val="Основной текст (2)"/>
    <w:basedOn w:val="2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sz w:val="28"/>
      <w:szCs w:val="28"/>
      <w:u w:val="single"/>
      <w:lang w:val="ru-RU" w:eastAsia="ru-RU" w:bidi="ru-RU"/>
    </w:rPr>
  </w:style>
  <w:style w:type="character" w:styleId="Style10" w:customStyle="1">
    <w:name w:val="Текст выноски Знак"/>
    <w:basedOn w:val="DefaultParagraphFont"/>
    <w:uiPriority w:val="99"/>
    <w:semiHidden/>
    <w:qFormat/>
    <w:rPr>
      <w:rFonts w:ascii="Tahoma" w:hAnsi="Tahoma" w:eastAsia="Arial" w:cs="Tahoma" w:eastAsiaTheme="minorEastAsia"/>
      <w:sz w:val="16"/>
      <w:szCs w:val="16"/>
      <w:lang w:eastAsia="ru-RU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ascii="PT Astra Serif" w:hAnsi="PT Astra Serif" w:cs="Mangal"/>
    </w:rPr>
  </w:style>
  <w:style w:type="paragraph" w:styleId="Style14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NoSpacing">
    <w:name w:val="No Spacing"/>
    <w:uiPriority w:val="1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6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7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 w:hanging="0"/>
    </w:pPr>
    <w:rPr>
      <w:i/>
    </w:rPr>
  </w:style>
  <w:style w:type="paragraph" w:styleId="Style18">
    <w:name w:val="Колонтитул"/>
    <w:basedOn w:val="Normal"/>
    <w:qFormat/>
    <w:pPr/>
    <w:rPr/>
  </w:style>
  <w:style w:type="paragraph" w:styleId="Style19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0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1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3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2">
    <w:name w:val="Index Heading"/>
    <w:basedOn w:val="Style11"/>
    <w:pPr/>
    <w:rPr/>
  </w:style>
  <w:style w:type="paragraph" w:styleId="Style23">
    <w:name w:val="TOC Heading"/>
    <w:uiPriority w:val="39"/>
    <w:unhideWhenUsed/>
    <w:pPr>
      <w:widowControl/>
      <w:bidi w:val="0"/>
      <w:spacing w:lineRule="auto" w:line="276" w:beforeAutospacing="0" w:before="0" w:afterAutospacing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ListParagraph">
    <w:name w:val="List Paragraph"/>
    <w:basedOn w:val="Normal"/>
    <w:uiPriority w:val="34"/>
    <w:qFormat/>
    <w:pPr>
      <w:widowControl/>
      <w:spacing w:lineRule="auto" w:line="276" w:before="0" w:after="200"/>
      <w:ind w:left="720" w:hanging="0"/>
      <w:contextualSpacing/>
    </w:pPr>
    <w:rPr>
      <w:rFonts w:ascii="Calibri" w:hAnsi="Calibri" w:eastAsia="Calibri" w:cs="Arial" w:asciiTheme="minorHAnsi" w:cstheme="minorBidi" w:eastAsiaTheme="minorHAnsi" w:hAnsiTheme="minorHAns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pPr>
      <w:widowControl/>
      <w:spacing w:beforeAutospacing="1" w:afterAutospacing="1"/>
    </w:pPr>
    <w:rPr>
      <w:rFonts w:eastAsia="Times New Roman"/>
      <w:sz w:val="24"/>
      <w:szCs w:val="24"/>
    </w:rPr>
  </w:style>
  <w:style w:type="paragraph" w:styleId="ConsPlusNormal" w:customStyle="1">
    <w:name w:val="ConsPlusNormal"/>
    <w:qFormat/>
    <w:pPr>
      <w:widowControl w:val="false"/>
      <w:bidi w:val="0"/>
      <w:spacing w:lineRule="auto" w:line="240" w:beforeAutospacing="0" w:before="0" w:afterAutospacing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Style24">
    <w:name w:val="Footnote Text"/>
    <w:basedOn w:val="Normal"/>
    <w:uiPriority w:val="99"/>
    <w:semiHidden/>
    <w:unhideWhenUsed/>
    <w:pPr/>
    <w:rPr/>
  </w:style>
  <w:style w:type="paragraph" w:styleId="BalloonText">
    <w:name w:val="Balloon Text"/>
    <w:basedOn w:val="Normal"/>
    <w:uiPriority w:val="99"/>
    <w:semiHidden/>
    <w:unhideWhenUsed/>
    <w:qFormat/>
    <w:pPr/>
    <w:rPr>
      <w:rFonts w:ascii="Tahoma" w:hAnsi="Tahoma" w:cs="Tahoma"/>
      <w:sz w:val="16"/>
      <w:szCs w:val="16"/>
    </w:rPr>
  </w:style>
  <w:style w:type="paragraph" w:styleId="Standard" w:customStyle="1">
    <w:name w:val="Standard"/>
    <w:qFormat/>
    <w:pPr>
      <w:keepNext w:val="false"/>
      <w:keepLines w:val="false"/>
      <w:pageBreakBefore w:val="false"/>
      <w:widowControl/>
      <w:pBdr/>
      <w:shd w:val="nil" w:color="000000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8"/>
      <w:sz w:val="28"/>
      <w:szCs w:val="20"/>
      <w:u w:val="none"/>
      <w:vertAlign w:val="baseline"/>
      <w:lang w:val="ru-RU" w:eastAsia="ru-RU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LibreOffice/7.5.6.2$Linux_X86_64 LibreOffice_project/50$Build-2</Application>
  <AppVersion>15.0000</AppVersion>
  <Pages>2</Pages>
  <Words>395</Words>
  <Characters>2843</Characters>
  <CharactersWithSpaces>3495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2019-12-16T07:34:00Z</dcterms:created>
  <dc:creator>Докукина Людмила Геннадьевна</dc:creator>
  <dc:description/>
  <dc:language>ru-RU</dc:language>
  <cp:lastModifiedBy/>
  <dcterms:modified xsi:type="dcterms:W3CDTF">2025-01-20T16:27:14Z</dcterms:modified>
  <cp:revision>38</cp:revision>
  <dc:subject/>
  <dc:title/>
</cp:coreProperties>
</file>