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/>
      </w:pPr>
      <w:r>
        <w:rPr>
          <w:rFonts w:eastAsia="Calibri"/>
          <w:b/>
          <w:bCs/>
          <w:szCs w:val="28"/>
        </w:rPr>
        <w:t xml:space="preserve">                                                                        </w:t>
      </w:r>
    </w:p>
    <w:p>
      <w:pPr>
        <w:pStyle w:val="Standard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Standard"/>
        <w:jc w:val="right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11.11.2025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овая глава в Земельном кодексе -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«Виды разрешенного использования земельных участков»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Сфера земельных отношений и недвижимости в России продолжает активно трансформироваться в 2025 - 2026 гг. 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Управление Росреестра по Алтайскому краю информирует, что 1 марта 2026 года вступает в силу Федеральный закон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Изменения, вносимые данным Федеральным законом в ряд законодательных актов (прежде всего, в Земельный и Градостроительный кодексы), призваны служить цели регулирования видов разрешенного использования и регламентов использования земель.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Федеральный закон № 295-ФЗ вводит новую главу II.1 в Земельный кодекс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- «Виды разрешенного использования земельных участков», в которой впервые на законодательном уровне устанавливается понятие «вида разрешенного использования земельного участка».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Так, в соответствии с п. 1 ст. 14.1 ЗК РФ (в ред. Федерального закона № 295-ФЗ), вид разрешенного использования земельного участка представляет собой вид деятельности, которую с учетом ограничений, установленных в соответствии с настоящим Кодексом, другими федеральными законами, допускается осуществлять на земельном участке, а также над и под его поверхностью, если иное не предусмотрено настоящим Кодексом, другими федеральными законами.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Также в новой главе впервые закрепляется тезис о том, что вид разрешенного использования зданий и сооружений должен соответствовать виду разрешенного использования участка (п. 7 ст. 14.1 ЗК РФ в ред. Федерального закона № 295-ФЗ).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Новым законом урегулируются и иные немаловажные вопросы сферы земельных отношений, так или иначе связанные с видами разрешенного использования земельных участков. Например, будет предусмотрена возможность объединения и перераспределения земельных участков с различными видами разрешенного использования (п. 6 ст. 11.11 ЗК РФ); будет предусмотрена возможность установления для участков, предназначенных для эксплуатации правомерно возведенных объектов капитального строительства, видов разрешенного использования, не предусмотренных правилами землепользования и застройки; прямо указывается, что арендатор участка не вправе выбирать иной вид разрешенного использования земельного участка, чем предусмотренный договором аренды земельного участка (п. 3 ст. 14.4 ЗК РФ) и так дальше. Аа – аа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14:ligatures w14:val="none"/>
        </w:rPr>
        <w:t>Ознакомиться с полным текстом документа можно на официальном интернет-портале правовой информации http://pravo.gov.ru</w:t>
      </w:r>
      <w:r>
        <w:rPr>
          <w:rStyle w:val="FootnoteReference"/>
          <w:rFonts w:eastAsia="Times New Roman" w:cs="Times New Roman" w:ascii="Times New Roman" w:hAnsi="Times New Roman"/>
          <w:color w:val="000000"/>
          <w:sz w:val="28"/>
          <w:szCs w:val="28"/>
          <w14:ligatures w14:val="none"/>
        </w:rPr>
        <w:footnoteReference w:id="2"/>
      </w:r>
      <w:r>
        <w:rPr>
          <w:rFonts w:eastAsia="Times New Roman" w:cs="Times New Roman" w:ascii="Times New Roman" w:hAnsi="Times New Roman"/>
          <w:color w:val="000000"/>
          <w:sz w:val="28"/>
          <w:szCs w:val="28"/>
          <w14:ligatures w14:val="none"/>
        </w:rPr>
        <w:t>.</w:t>
      </w:r>
    </w:p>
    <w:p>
      <w:pPr>
        <w:pStyle w:val="Normal"/>
        <w:pBdr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Normal"/>
        <w:pBdr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  <w:t xml:space="preserve">Начальник Межмуниципального Новоалтайского отдела </w:t>
        <w:tab/>
        <w:tab/>
        <w:tab/>
        <w:tab/>
        <w:t xml:space="preserve">         А.Б.Янькова </w:t>
      </w:r>
    </w:p>
    <w:sectPr>
      <w:footnotePr>
        <w:numFmt w:val="decimal"/>
      </w:footnote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5"/>
        </w:rPr>
        <w:footnoteRef/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http://publication.pravo.gov.ru/document/0001202507310049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paragraph" w:styleId="ConsPlusNormal" w:customStyle="1">
    <w:name w:val="ConsPlusNormal"/>
    <w:uiPriority w:val="99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LibreOffice/25.2.3.2$Linux_X86_64 LibreOffice_project/520$Build-2</Application>
  <AppVersion>15.0000</AppVersion>
  <Pages>1</Pages>
  <Words>332</Words>
  <Characters>2398</Characters>
  <CharactersWithSpaces>2809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2024-09-04T04:39:00Z</dcterms:created>
  <dc:creator>Сарафанова Анна Евгеньевна</dc:creator>
  <dc:description/>
  <dc:language>ru-RU</dc:language>
  <cp:lastModifiedBy/>
  <dcterms:modified xsi:type="dcterms:W3CDTF">2025-11-12T16:35:29Z</dcterms:modified>
  <cp:revision>14</cp:revision>
  <dc:subject/>
  <dc:title/>
</cp:coreProperties>
</file>