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rFonts w:eastAsia="+mn-ea"/>
          <w:b/>
          <w:color w:val="000000"/>
          <w:sz w:val="28"/>
          <w:szCs w:val="28"/>
        </w:rPr>
        <w:t xml:space="preserve">Алтайский Росреестр и Управление налоговой службы по Алтайскому краю </w:t>
      </w:r>
      <w:r>
        <w:rPr>
          <w:b/>
          <w:sz w:val="28"/>
          <w:szCs w:val="28"/>
        </w:rPr>
        <w:t>встретились за «круглым столом» для обсуждения вопросов обеспечения процедур банкротства в регионе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ноябре 2025  прошла ежегодная рабочая встреча сотрудников  Управления Росреестра по Алтайскому краю и Управления Федеральной налоговой службы по Алтайскому краю в формате «Круглого стола» на тему: «Актуальные вопросы обеспечения процедур банкротства».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За круглым столом обсуждались вопросы реализации полномочий ведомств в делах о несостоятельности (банкротстве) и процедурах, применяемых в делах о банкротстве; административная практика по возбуждению дел и проведению административных расследований по обращениям, жалобам и материалам о нарушениях в действиях (бездействии) арбитражных управляющих, практика обжалования судебных решений </w:t>
      </w:r>
      <w:r>
        <w:rPr>
          <w:sz w:val="28"/>
          <w:szCs w:val="28"/>
        </w:rPr>
        <w:t>об отказе в привлечении арбитражных управляющих к административной ответственности</w:t>
      </w:r>
      <w:r>
        <w:rPr>
          <w:sz w:val="28"/>
          <w:szCs w:val="28"/>
        </w:rPr>
        <w:t xml:space="preserve">, ключевые вопросы информационного взаимодействия Росреестра и УФНС по Алтайскому краю, а также обозначен комплекс мероприятий, способствующих обеспечению соблюдения арбитражными управляющими законодательства о несостоятельности (банкротстве).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встречи стороны пришли к единому мнению о конструктивности, общественной полезности и необходимости дальнейшего взаимодействия ведомств в целях формирования совместной практики по анализу деятельности арбитражных управляющих предприятий – банкротов, стимулированию арбитражных управляющих к неукоснительному соблюдению законодательства при исполнении обязанностей в процедурах банкротства, и привлечению их к административной ответственности за ненадлежащее исполнение этих обязанностей.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Межмуниципального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Новоалтайского отдела </w:t>
        <w:tab/>
        <w:tab/>
        <w:tab/>
        <w:t xml:space="preserve">                                         А.Б.Янькова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Обычный (веб)"/>
    <w:basedOn w:val="Normal"/>
    <w:uiPriority w:val="99"/>
    <w:qFormat/>
    <w:pPr>
      <w:spacing w:beforeAutospacing="1" w:afterAutospacing="1"/>
    </w:pPr>
    <w:rPr/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"/>
    <w:basedOn w:val="Normal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numbering" w:styleId="Style1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LibreOffice/7.6.7.2$Linux_X86_64 LibreOffice_project/60$Build-2</Application>
  <AppVersion>15.0000</AppVersion>
  <Pages>1</Pages>
  <Words>189</Words>
  <Characters>1503</Characters>
  <CharactersWithSpaces>1735</CharactersWithSpaces>
  <Paragraphs>6</Paragraphs>
  <Company>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2023-11-16T08:21:00Z</dcterms:created>
  <dc:creator>shishkina</dc:creator>
  <dc:description/>
  <dc:language>ru-RU</dc:language>
  <cp:lastModifiedBy/>
  <dcterms:modified xsi:type="dcterms:W3CDTF">2025-12-22T15:10:59Z</dcterms:modified>
  <cp:revision>5</cp:revision>
  <dc:subject/>
  <dc:title>Дисквалификация арбитражного управляющего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