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5E" w:rsidRDefault="00F0595E" w:rsidP="006E28B9">
      <w:pPr>
        <w:spacing w:after="0"/>
        <w:ind w:firstLine="322"/>
        <w:jc w:val="both"/>
        <w:rPr>
          <w:rFonts w:ascii="Times New Roman" w:hAnsi="Times New Roman" w:cs="Times New Roman"/>
          <w:b/>
          <w:color w:val="000000"/>
          <w:sz w:val="24"/>
          <w:szCs w:val="24"/>
          <w:lang w:eastAsia="ru-RU" w:bidi="ru-RU"/>
        </w:rPr>
      </w:pPr>
      <w:r>
        <w:rPr>
          <w:noProof/>
          <w:lang w:eastAsia="ru-RU"/>
        </w:rPr>
        <w:drawing>
          <wp:inline distT="0" distB="0" distL="0" distR="0" wp14:anchorId="6501FD1C" wp14:editId="18581336">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266190" cy="832835"/>
                    </a:xfrm>
                    <a:prstGeom prst="rect">
                      <a:avLst/>
                    </a:prstGeom>
                  </pic:spPr>
                </pic:pic>
              </a:graphicData>
            </a:graphic>
          </wp:inline>
        </w:drawing>
      </w:r>
    </w:p>
    <w:p w:rsidR="00F0595E" w:rsidRDefault="00F0595E" w:rsidP="006E28B9">
      <w:pPr>
        <w:spacing w:after="0"/>
        <w:ind w:firstLine="322"/>
        <w:jc w:val="both"/>
        <w:rPr>
          <w:rFonts w:ascii="Times New Roman" w:hAnsi="Times New Roman" w:cs="Times New Roman"/>
          <w:b/>
          <w:color w:val="000000"/>
          <w:sz w:val="24"/>
          <w:szCs w:val="24"/>
          <w:lang w:eastAsia="ru-RU" w:bidi="ru-RU"/>
        </w:rPr>
      </w:pPr>
    </w:p>
    <w:p w:rsidR="00F0595E" w:rsidRDefault="00F0595E" w:rsidP="006E28B9">
      <w:pPr>
        <w:spacing w:after="0"/>
        <w:ind w:firstLine="322"/>
        <w:jc w:val="both"/>
        <w:rPr>
          <w:rFonts w:ascii="Times New Roman" w:hAnsi="Times New Roman" w:cs="Times New Roman"/>
          <w:b/>
          <w:color w:val="000000"/>
          <w:sz w:val="24"/>
          <w:szCs w:val="24"/>
          <w:lang w:eastAsia="ru-RU" w:bidi="ru-RU"/>
        </w:rPr>
      </w:pPr>
    </w:p>
    <w:p w:rsidR="00F0595E" w:rsidRPr="005B67F2" w:rsidRDefault="00F0595E" w:rsidP="00F0595E">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F0595E" w:rsidRPr="001A0577" w:rsidRDefault="00F0595E" w:rsidP="00F0595E">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04</w:t>
      </w:r>
      <w:r>
        <w:rPr>
          <w:rFonts w:ascii="Times New Roman" w:hAnsi="Times New Roman" w:cs="Times New Roman"/>
          <w:bCs/>
          <w:sz w:val="28"/>
          <w:szCs w:val="28"/>
        </w:rPr>
        <w:t>.0</w:t>
      </w:r>
      <w:r>
        <w:rPr>
          <w:rFonts w:ascii="Times New Roman" w:hAnsi="Times New Roman" w:cs="Times New Roman"/>
          <w:bCs/>
          <w:sz w:val="28"/>
          <w:szCs w:val="28"/>
        </w:rPr>
        <w:t>9</w:t>
      </w:r>
      <w:r w:rsidRPr="001A0577">
        <w:rPr>
          <w:rFonts w:ascii="Times New Roman" w:hAnsi="Times New Roman" w:cs="Times New Roman"/>
          <w:bCs/>
          <w:sz w:val="28"/>
          <w:szCs w:val="28"/>
        </w:rPr>
        <w:t>.2024</w:t>
      </w:r>
    </w:p>
    <w:p w:rsidR="00F0595E" w:rsidRDefault="00F0595E" w:rsidP="00F0595E">
      <w:pPr>
        <w:autoSpaceDE w:val="0"/>
        <w:autoSpaceDN w:val="0"/>
        <w:adjustRightInd w:val="0"/>
        <w:spacing w:after="0" w:line="240" w:lineRule="auto"/>
        <w:ind w:firstLine="709"/>
        <w:jc w:val="both"/>
        <w:rPr>
          <w:rFonts w:ascii="Times New Roman" w:hAnsi="Times New Roman" w:cs="Times New Roman"/>
          <w:sz w:val="28"/>
          <w:szCs w:val="28"/>
        </w:rPr>
      </w:pPr>
    </w:p>
    <w:p w:rsidR="00F0595E" w:rsidRDefault="00F0595E" w:rsidP="00F0595E">
      <w:pPr>
        <w:spacing w:after="0"/>
        <w:ind w:firstLine="322"/>
        <w:jc w:val="right"/>
        <w:rPr>
          <w:rFonts w:ascii="Times New Roman" w:hAnsi="Times New Roman" w:cs="Times New Roman"/>
          <w:b/>
          <w:color w:val="000000"/>
          <w:sz w:val="24"/>
          <w:szCs w:val="24"/>
          <w:lang w:eastAsia="ru-RU" w:bidi="ru-RU"/>
        </w:rPr>
      </w:pPr>
    </w:p>
    <w:p w:rsidR="003D7055" w:rsidRPr="006E28B9" w:rsidRDefault="00025BFE" w:rsidP="00F0595E">
      <w:pPr>
        <w:spacing w:after="0"/>
        <w:jc w:val="both"/>
        <w:rPr>
          <w:rFonts w:ascii="Times New Roman" w:hAnsi="Times New Roman" w:cs="Times New Roman"/>
          <w:b/>
          <w:color w:val="000000"/>
          <w:sz w:val="24"/>
          <w:szCs w:val="24"/>
          <w:lang w:eastAsia="ru-RU" w:bidi="ru-RU"/>
        </w:rPr>
      </w:pPr>
      <w:r w:rsidRPr="006E28B9">
        <w:rPr>
          <w:rFonts w:ascii="Times New Roman" w:hAnsi="Times New Roman" w:cs="Times New Roman"/>
          <w:b/>
          <w:color w:val="000000"/>
          <w:sz w:val="24"/>
          <w:szCs w:val="24"/>
          <w:lang w:eastAsia="ru-RU" w:bidi="ru-RU"/>
        </w:rPr>
        <w:t>Земельный участок и расположенный на нем жилой дом принадлежат на праве общей долевой собственности нескольким лицам. Возможен ли раздел земельного участка под жилым домом на два самостоятельных земельных участка, при этом по соглашению собственников образуемые земельные участки будут находиться в индивидуальной собственности каждого собственника? (Раздел жилого дома не осуществляется, право общей долевой собственности на жилой дом сохраняется.)</w:t>
      </w:r>
    </w:p>
    <w:p w:rsidR="00025BFE" w:rsidRPr="006E28B9" w:rsidRDefault="00025BFE" w:rsidP="006E28B9">
      <w:pPr>
        <w:spacing w:after="0"/>
        <w:ind w:firstLine="322"/>
        <w:jc w:val="both"/>
        <w:rPr>
          <w:rFonts w:ascii="Times New Roman" w:hAnsi="Times New Roman" w:cs="Times New Roman"/>
          <w:b/>
          <w:color w:val="000000"/>
          <w:sz w:val="24"/>
          <w:szCs w:val="24"/>
          <w:lang w:eastAsia="ru-RU" w:bidi="ru-RU"/>
        </w:rPr>
      </w:pPr>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proofErr w:type="gramStart"/>
      <w:r w:rsidRPr="006E28B9">
        <w:rPr>
          <w:rFonts w:ascii="Times New Roman" w:hAnsi="Times New Roman" w:cs="Times New Roman"/>
          <w:color w:val="000000" w:themeColor="text1"/>
          <w:sz w:val="24"/>
          <w:szCs w:val="24"/>
        </w:rPr>
        <w:t>Согласно пункту 35 части 1 статьи 26 Закона № 218-ФЗ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w:t>
      </w:r>
      <w:proofErr w:type="gramEnd"/>
      <w:r w:rsidRPr="006E28B9">
        <w:rPr>
          <w:rFonts w:ascii="Times New Roman" w:hAnsi="Times New Roman" w:cs="Times New Roman"/>
          <w:color w:val="000000" w:themeColor="text1"/>
          <w:sz w:val="24"/>
          <w:szCs w:val="24"/>
        </w:rPr>
        <w:t xml:space="preserve"> недвижимости или преобразуемыми объектами недвижимости не допускается в соответствии с установленными федеральным законом требованиями.</w:t>
      </w:r>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r w:rsidRPr="006E28B9">
        <w:rPr>
          <w:rFonts w:ascii="Times New Roman" w:hAnsi="Times New Roman" w:cs="Times New Roman"/>
          <w:color w:val="000000" w:themeColor="text1"/>
          <w:sz w:val="24"/>
          <w:szCs w:val="24"/>
        </w:rPr>
        <w:t xml:space="preserve">Подпунктом 5 пункта 1 статьи 1 ЗК установлен принцип единства судьбы земельных участков и прочно связанных с ними объектов, согласно </w:t>
      </w:r>
      <w:proofErr w:type="gramStart"/>
      <w:r w:rsidRPr="006E28B9">
        <w:rPr>
          <w:rFonts w:ascii="Times New Roman" w:hAnsi="Times New Roman" w:cs="Times New Roman"/>
          <w:color w:val="000000" w:themeColor="text1"/>
          <w:sz w:val="24"/>
          <w:szCs w:val="24"/>
        </w:rPr>
        <w:t>которому</w:t>
      </w:r>
      <w:proofErr w:type="gramEnd"/>
      <w:r w:rsidRPr="006E28B9">
        <w:rPr>
          <w:rFonts w:ascii="Times New Roman" w:hAnsi="Times New Roman" w:cs="Times New Roman"/>
          <w:color w:val="000000" w:themeColor="text1"/>
          <w:sz w:val="24"/>
          <w:szCs w:val="24"/>
        </w:rPr>
        <w:t xml:space="preserve">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proofErr w:type="gramStart"/>
      <w:r w:rsidRPr="006E28B9">
        <w:rPr>
          <w:rFonts w:ascii="Times New Roman" w:hAnsi="Times New Roman" w:cs="Times New Roman"/>
          <w:color w:val="000000" w:themeColor="text1"/>
          <w:sz w:val="24"/>
          <w:szCs w:val="24"/>
        </w:rPr>
        <w:t>В соответствии с абзацем четвертым подпункта 2 пункта 4 статьи 35 ЗК 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roofErr w:type="gramEnd"/>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proofErr w:type="gramStart"/>
      <w:r w:rsidRPr="006E28B9">
        <w:rPr>
          <w:rFonts w:ascii="Times New Roman" w:hAnsi="Times New Roman" w:cs="Times New Roman"/>
          <w:color w:val="000000" w:themeColor="text1"/>
          <w:sz w:val="24"/>
          <w:szCs w:val="24"/>
        </w:rPr>
        <w:t>Пунктом 1 статьи 273 ГК также установлено, что при переходе права собственности (независимо от способа перехода)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roofErr w:type="gramEnd"/>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r w:rsidRPr="006E28B9">
        <w:rPr>
          <w:rFonts w:ascii="Times New Roman" w:hAnsi="Times New Roman" w:cs="Times New Roman"/>
          <w:color w:val="000000" w:themeColor="text1"/>
          <w:sz w:val="24"/>
          <w:szCs w:val="24"/>
        </w:rPr>
        <w:t xml:space="preserve">Исходя из изложенных норм, раздел земельного участка с оставлением находящегося на нем здания в общей долевой собственности участников в указанном случае не согласуется с требованиям действующего законодательства (см., например, определение Судебной коллегии по гражданским делам Верховного Суда Российской Федерации от 13.01.2015 </w:t>
      </w:r>
      <w:r w:rsidRPr="006E28B9">
        <w:rPr>
          <w:rFonts w:ascii="Times New Roman" w:hAnsi="Times New Roman" w:cs="Times New Roman"/>
          <w:color w:val="000000" w:themeColor="text1"/>
          <w:sz w:val="24"/>
          <w:szCs w:val="24"/>
        </w:rPr>
        <w:br/>
        <w:t>№ 73-КГ14-5).</w:t>
      </w:r>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r w:rsidRPr="006E28B9">
        <w:rPr>
          <w:rFonts w:ascii="Times New Roman" w:hAnsi="Times New Roman" w:cs="Times New Roman"/>
          <w:color w:val="000000" w:themeColor="text1"/>
          <w:sz w:val="24"/>
          <w:szCs w:val="24"/>
        </w:rPr>
        <w:t xml:space="preserve">Кроме того, образование земельных участков не должно нарушать требования, установленные ЗК, другими федеральными законами (пункт 6 статьи 11.9 ЗК), в том числе требования градостроительных регламентов, которыми согласно части 6 статьи 30, части 1 статьи 38 </w:t>
      </w:r>
      <w:proofErr w:type="spellStart"/>
      <w:r w:rsidRPr="006E28B9">
        <w:rPr>
          <w:rFonts w:ascii="Times New Roman" w:hAnsi="Times New Roman" w:cs="Times New Roman"/>
          <w:color w:val="000000" w:themeColor="text1"/>
          <w:sz w:val="24"/>
          <w:szCs w:val="24"/>
        </w:rPr>
        <w:t>ГрК</w:t>
      </w:r>
      <w:proofErr w:type="spellEnd"/>
      <w:r w:rsidRPr="006E28B9">
        <w:rPr>
          <w:rFonts w:ascii="Times New Roman" w:hAnsi="Times New Roman" w:cs="Times New Roman"/>
          <w:color w:val="000000" w:themeColor="text1"/>
          <w:sz w:val="24"/>
          <w:szCs w:val="24"/>
        </w:rPr>
        <w:t xml:space="preserve"> среди прочего определяются: </w:t>
      </w:r>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r w:rsidRPr="006E28B9">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в том числе их площадь; </w:t>
      </w:r>
    </w:p>
    <w:p w:rsidR="00025BFE" w:rsidRPr="006E28B9" w:rsidRDefault="00025BFE" w:rsidP="006E28B9">
      <w:pPr>
        <w:spacing w:after="0" w:line="23" w:lineRule="atLeast"/>
        <w:ind w:firstLine="325"/>
        <w:jc w:val="both"/>
        <w:rPr>
          <w:rFonts w:ascii="Times New Roman" w:hAnsi="Times New Roman" w:cs="Times New Roman"/>
          <w:color w:val="000000" w:themeColor="text1"/>
          <w:sz w:val="24"/>
          <w:szCs w:val="24"/>
        </w:rPr>
      </w:pPr>
      <w:r w:rsidRPr="006E28B9">
        <w:rPr>
          <w:rFonts w:ascii="Times New Roman" w:hAnsi="Times New Roman" w:cs="Times New Roman"/>
          <w:color w:val="000000" w:themeColor="text1"/>
          <w:sz w:val="24"/>
          <w:szCs w:val="24"/>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25BFE" w:rsidRPr="006E28B9" w:rsidRDefault="00025BFE" w:rsidP="006E28B9">
      <w:pPr>
        <w:spacing w:after="0"/>
        <w:ind w:firstLine="322"/>
        <w:jc w:val="both"/>
        <w:rPr>
          <w:rFonts w:ascii="Times New Roman" w:hAnsi="Times New Roman" w:cs="Times New Roman"/>
          <w:color w:val="000000" w:themeColor="text1"/>
          <w:sz w:val="24"/>
          <w:szCs w:val="24"/>
        </w:rPr>
      </w:pPr>
      <w:r w:rsidRPr="006E28B9">
        <w:rPr>
          <w:rFonts w:ascii="Times New Roman" w:hAnsi="Times New Roman" w:cs="Times New Roman"/>
          <w:color w:val="000000" w:themeColor="text1"/>
          <w:sz w:val="24"/>
          <w:szCs w:val="24"/>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25BFE" w:rsidRDefault="00025BFE" w:rsidP="006E28B9">
      <w:pPr>
        <w:spacing w:after="0"/>
        <w:ind w:firstLine="322"/>
        <w:jc w:val="both"/>
        <w:rPr>
          <w:rFonts w:ascii="Times New Roman" w:hAnsi="Times New Roman" w:cs="Times New Roman"/>
          <w:b/>
          <w:sz w:val="24"/>
          <w:szCs w:val="24"/>
        </w:rPr>
      </w:pPr>
    </w:p>
    <w:p w:rsidR="00F0595E" w:rsidRPr="006E28B9" w:rsidRDefault="00F0595E" w:rsidP="00F0595E">
      <w:pPr>
        <w:spacing w:after="0"/>
        <w:ind w:firstLine="322"/>
        <w:jc w:val="both"/>
        <w:rPr>
          <w:rFonts w:ascii="Times New Roman" w:hAnsi="Times New Roman" w:cs="Times New Roman"/>
          <w:b/>
          <w:sz w:val="24"/>
          <w:szCs w:val="24"/>
        </w:rPr>
      </w:pPr>
      <w:bookmarkStart w:id="0" w:name="_GoBack"/>
      <w:r>
        <w:rPr>
          <w:rFonts w:ascii="Times New Roman" w:hAnsi="Times New Roman" w:cs="Times New Roman"/>
          <w:b/>
          <w:sz w:val="24"/>
          <w:szCs w:val="24"/>
        </w:rPr>
        <w:t xml:space="preserve">С Уважением, </w:t>
      </w:r>
      <w:proofErr w:type="gramStart"/>
      <w:r>
        <w:rPr>
          <w:rFonts w:ascii="Times New Roman" w:hAnsi="Times New Roman" w:cs="Times New Roman"/>
          <w:b/>
          <w:sz w:val="24"/>
          <w:szCs w:val="24"/>
        </w:rPr>
        <w:t>Межмуниципальный</w:t>
      </w:r>
      <w:proofErr w:type="gramEnd"/>
      <w:r>
        <w:rPr>
          <w:rFonts w:ascii="Times New Roman" w:hAnsi="Times New Roman" w:cs="Times New Roman"/>
          <w:b/>
          <w:sz w:val="24"/>
          <w:szCs w:val="24"/>
        </w:rPr>
        <w:t xml:space="preserve"> Новоа</w:t>
      </w:r>
      <w:r>
        <w:rPr>
          <w:rFonts w:ascii="Times New Roman" w:hAnsi="Times New Roman" w:cs="Times New Roman"/>
          <w:b/>
          <w:sz w:val="24"/>
          <w:szCs w:val="24"/>
        </w:rPr>
        <w:t>л</w:t>
      </w:r>
      <w:r>
        <w:rPr>
          <w:rFonts w:ascii="Times New Roman" w:hAnsi="Times New Roman" w:cs="Times New Roman"/>
          <w:b/>
          <w:sz w:val="24"/>
          <w:szCs w:val="24"/>
        </w:rPr>
        <w:t>тайский отдел Управления Росреестра по Алтайскому краю.</w:t>
      </w:r>
    </w:p>
    <w:bookmarkEnd w:id="0"/>
    <w:p w:rsidR="00F0595E" w:rsidRPr="006E28B9" w:rsidRDefault="00F0595E" w:rsidP="00F0595E">
      <w:pPr>
        <w:spacing w:after="0"/>
        <w:ind w:firstLine="322"/>
        <w:jc w:val="both"/>
        <w:rPr>
          <w:rFonts w:ascii="Times New Roman" w:hAnsi="Times New Roman" w:cs="Times New Roman"/>
          <w:b/>
          <w:sz w:val="24"/>
          <w:szCs w:val="24"/>
        </w:rPr>
      </w:pPr>
    </w:p>
    <w:sectPr w:rsidR="00F0595E" w:rsidRPr="006E28B9" w:rsidSect="00F0595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BA" w:rsidRDefault="005172BA" w:rsidP="00F518D7">
      <w:pPr>
        <w:spacing w:after="0" w:line="240" w:lineRule="auto"/>
      </w:pPr>
      <w:r>
        <w:separator/>
      </w:r>
    </w:p>
  </w:endnote>
  <w:endnote w:type="continuationSeparator" w:id="0">
    <w:p w:rsidR="005172BA" w:rsidRDefault="005172BA" w:rsidP="00F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BA" w:rsidRDefault="005172BA" w:rsidP="00F518D7">
      <w:pPr>
        <w:spacing w:after="0" w:line="240" w:lineRule="auto"/>
      </w:pPr>
      <w:r>
        <w:separator/>
      </w:r>
    </w:p>
  </w:footnote>
  <w:footnote w:type="continuationSeparator" w:id="0">
    <w:p w:rsidR="005172BA" w:rsidRDefault="005172BA" w:rsidP="00F5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0D"/>
    <w:rsid w:val="00003D01"/>
    <w:rsid w:val="00025BFE"/>
    <w:rsid w:val="000A5E0D"/>
    <w:rsid w:val="00131E89"/>
    <w:rsid w:val="002B111D"/>
    <w:rsid w:val="003D7055"/>
    <w:rsid w:val="005172BA"/>
    <w:rsid w:val="005E010C"/>
    <w:rsid w:val="005E5610"/>
    <w:rsid w:val="006048B3"/>
    <w:rsid w:val="006E28B9"/>
    <w:rsid w:val="00842836"/>
    <w:rsid w:val="008A5D1E"/>
    <w:rsid w:val="00C21AA8"/>
    <w:rsid w:val="00F0595E"/>
    <w:rsid w:val="00F518D7"/>
    <w:rsid w:val="00F9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F059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5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F059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5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Полянина Ирина Леонидовна</dc:creator>
  <cp:lastModifiedBy>R22ZNY13041978</cp:lastModifiedBy>
  <cp:revision>4</cp:revision>
  <dcterms:created xsi:type="dcterms:W3CDTF">2024-08-21T01:49:00Z</dcterms:created>
  <dcterms:modified xsi:type="dcterms:W3CDTF">2024-09-09T01:52:00Z</dcterms:modified>
</cp:coreProperties>
</file>