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B2" w:rsidRDefault="00B16EB2" w:rsidP="006E28B9">
      <w:pPr>
        <w:pStyle w:val="20"/>
        <w:shd w:val="clear" w:color="auto" w:fill="auto"/>
        <w:tabs>
          <w:tab w:val="left" w:pos="1214"/>
        </w:tabs>
        <w:spacing w:after="0" w:line="23" w:lineRule="atLeast"/>
        <w:ind w:firstLine="284"/>
        <w:jc w:val="both"/>
        <w:rPr>
          <w:b/>
          <w:color w:val="000000"/>
          <w:sz w:val="24"/>
          <w:szCs w:val="24"/>
          <w:lang w:eastAsia="ru-RU" w:bidi="ru-RU"/>
        </w:rPr>
      </w:pPr>
      <w:r>
        <w:rPr>
          <w:noProof/>
          <w:lang w:eastAsia="ru-RU"/>
        </w:rPr>
        <w:drawing>
          <wp:inline distT="0" distB="0" distL="0" distR="0" wp14:anchorId="1C2E3A6E" wp14:editId="34844C87">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266190" cy="832835"/>
                    </a:xfrm>
                    <a:prstGeom prst="rect">
                      <a:avLst/>
                    </a:prstGeom>
                  </pic:spPr>
                </pic:pic>
              </a:graphicData>
            </a:graphic>
          </wp:inline>
        </w:drawing>
      </w:r>
    </w:p>
    <w:p w:rsidR="00B16EB2" w:rsidRPr="005B67F2" w:rsidRDefault="00B16EB2" w:rsidP="00B16EB2">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B16EB2" w:rsidRPr="001A0577" w:rsidRDefault="00B16EB2" w:rsidP="00B16EB2">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04.09</w:t>
      </w:r>
      <w:r w:rsidRPr="001A0577">
        <w:rPr>
          <w:rFonts w:ascii="Times New Roman" w:hAnsi="Times New Roman" w:cs="Times New Roman"/>
          <w:bCs/>
          <w:sz w:val="28"/>
          <w:szCs w:val="28"/>
        </w:rPr>
        <w:t>.2024</w:t>
      </w:r>
    </w:p>
    <w:p w:rsidR="00B16EB2" w:rsidRDefault="00B16EB2" w:rsidP="00B16EB2">
      <w:pPr>
        <w:pStyle w:val="20"/>
        <w:shd w:val="clear" w:color="auto" w:fill="auto"/>
        <w:tabs>
          <w:tab w:val="left" w:pos="1214"/>
        </w:tabs>
        <w:spacing w:after="0" w:line="23" w:lineRule="atLeast"/>
        <w:ind w:firstLine="284"/>
        <w:jc w:val="right"/>
        <w:rPr>
          <w:b/>
          <w:color w:val="000000"/>
          <w:sz w:val="24"/>
          <w:szCs w:val="24"/>
          <w:lang w:eastAsia="ru-RU" w:bidi="ru-RU"/>
        </w:rPr>
      </w:pPr>
    </w:p>
    <w:p w:rsidR="00B16EB2" w:rsidRDefault="00B16EB2" w:rsidP="006E28B9">
      <w:pPr>
        <w:pStyle w:val="20"/>
        <w:shd w:val="clear" w:color="auto" w:fill="auto"/>
        <w:tabs>
          <w:tab w:val="left" w:pos="1214"/>
        </w:tabs>
        <w:spacing w:after="0" w:line="23" w:lineRule="atLeast"/>
        <w:ind w:firstLine="284"/>
        <w:jc w:val="both"/>
        <w:rPr>
          <w:b/>
          <w:color w:val="000000"/>
          <w:sz w:val="24"/>
          <w:szCs w:val="24"/>
          <w:lang w:eastAsia="ru-RU" w:bidi="ru-RU"/>
        </w:rPr>
      </w:pPr>
    </w:p>
    <w:p w:rsidR="00B16EB2" w:rsidRDefault="00B16EB2" w:rsidP="006E28B9">
      <w:pPr>
        <w:pStyle w:val="20"/>
        <w:shd w:val="clear" w:color="auto" w:fill="auto"/>
        <w:tabs>
          <w:tab w:val="left" w:pos="1214"/>
        </w:tabs>
        <w:spacing w:after="0" w:line="23" w:lineRule="atLeast"/>
        <w:ind w:firstLine="284"/>
        <w:jc w:val="both"/>
        <w:rPr>
          <w:b/>
          <w:color w:val="000000"/>
          <w:sz w:val="24"/>
          <w:szCs w:val="24"/>
          <w:lang w:eastAsia="ru-RU" w:bidi="ru-RU"/>
        </w:rPr>
      </w:pPr>
    </w:p>
    <w:p w:rsidR="003D7055" w:rsidRPr="006E28B9" w:rsidRDefault="003D7055" w:rsidP="006E28B9">
      <w:pPr>
        <w:pStyle w:val="20"/>
        <w:shd w:val="clear" w:color="auto" w:fill="auto"/>
        <w:tabs>
          <w:tab w:val="left" w:pos="1214"/>
        </w:tabs>
        <w:spacing w:after="0" w:line="23" w:lineRule="atLeast"/>
        <w:ind w:firstLine="284"/>
        <w:jc w:val="both"/>
        <w:rPr>
          <w:b/>
          <w:color w:val="000000"/>
          <w:sz w:val="24"/>
          <w:szCs w:val="24"/>
          <w:lang w:eastAsia="ru-RU" w:bidi="ru-RU"/>
        </w:rPr>
      </w:pPr>
      <w:r w:rsidRPr="006E28B9">
        <w:rPr>
          <w:b/>
          <w:color w:val="000000"/>
          <w:sz w:val="24"/>
          <w:szCs w:val="24"/>
          <w:lang w:eastAsia="ru-RU" w:bidi="ru-RU"/>
        </w:rPr>
        <w:t xml:space="preserve">На государственную регистрацию представлен нотариально удостоверенный договор купли-продажи квартиры, заключенный до вступления в силу   Закона № 122-ФЗ, не прошедший регистрацию в </w:t>
      </w:r>
      <w:r w:rsidR="006E28B9" w:rsidRPr="006E28B9">
        <w:rPr>
          <w:b/>
          <w:color w:val="000000"/>
          <w:sz w:val="24"/>
          <w:szCs w:val="24"/>
          <w:lang w:eastAsia="ru-RU" w:bidi="ru-RU"/>
        </w:rPr>
        <w:t>Б</w:t>
      </w:r>
      <w:r w:rsidRPr="006E28B9">
        <w:rPr>
          <w:b/>
          <w:color w:val="000000"/>
          <w:sz w:val="24"/>
          <w:szCs w:val="24"/>
          <w:lang w:eastAsia="ru-RU" w:bidi="ru-RU"/>
        </w:rPr>
        <w:t>ТИ.</w:t>
      </w:r>
      <w:r w:rsidR="006E28B9" w:rsidRPr="006E28B9">
        <w:rPr>
          <w:b/>
          <w:color w:val="000000"/>
          <w:sz w:val="24"/>
          <w:szCs w:val="24"/>
          <w:lang w:eastAsia="ru-RU" w:bidi="ru-RU"/>
        </w:rPr>
        <w:t xml:space="preserve"> </w:t>
      </w:r>
      <w:r w:rsidRPr="006E28B9">
        <w:rPr>
          <w:b/>
          <w:color w:val="000000"/>
          <w:sz w:val="24"/>
          <w:szCs w:val="24"/>
          <w:lang w:eastAsia="ru-RU" w:bidi="ru-RU"/>
        </w:rPr>
        <w:t xml:space="preserve"> </w:t>
      </w:r>
      <w:proofErr w:type="gramStart"/>
      <w:r w:rsidRPr="006E28B9">
        <w:rPr>
          <w:b/>
          <w:color w:val="000000"/>
          <w:sz w:val="24"/>
          <w:szCs w:val="24"/>
          <w:lang w:eastAsia="ru-RU" w:bidi="ru-RU"/>
        </w:rPr>
        <w:t>Возможно</w:t>
      </w:r>
      <w:proofErr w:type="gramEnd"/>
      <w:r w:rsidR="006E28B9" w:rsidRPr="006E28B9">
        <w:rPr>
          <w:b/>
          <w:color w:val="000000"/>
          <w:sz w:val="24"/>
          <w:szCs w:val="24"/>
          <w:lang w:eastAsia="ru-RU" w:bidi="ru-RU"/>
        </w:rPr>
        <w:t xml:space="preserve"> ли зарегистрировать право собственности</w:t>
      </w:r>
      <w:r w:rsidRPr="006E28B9">
        <w:rPr>
          <w:b/>
          <w:color w:val="000000"/>
          <w:sz w:val="24"/>
          <w:szCs w:val="24"/>
          <w:lang w:eastAsia="ru-RU" w:bidi="ru-RU"/>
        </w:rPr>
        <w:t xml:space="preserve"> в данном случае как ранее возникшего?</w:t>
      </w:r>
    </w:p>
    <w:p w:rsidR="006E28B9" w:rsidRPr="006E28B9" w:rsidRDefault="006E28B9" w:rsidP="006E28B9">
      <w:pPr>
        <w:pStyle w:val="20"/>
        <w:shd w:val="clear" w:color="auto" w:fill="auto"/>
        <w:tabs>
          <w:tab w:val="left" w:pos="1214"/>
        </w:tabs>
        <w:spacing w:after="0" w:line="23" w:lineRule="atLeast"/>
        <w:ind w:firstLine="284"/>
        <w:jc w:val="both"/>
        <w:rPr>
          <w:b/>
          <w:color w:val="000000"/>
          <w:sz w:val="24"/>
          <w:szCs w:val="24"/>
          <w:lang w:eastAsia="ru-RU" w:bidi="ru-RU"/>
        </w:rPr>
      </w:pP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В соответствии со статьей 135 Гражданского кодекса </w:t>
      </w:r>
      <w:proofErr w:type="gramStart"/>
      <w:r w:rsidRPr="006E28B9">
        <w:rPr>
          <w:rFonts w:ascii="Times New Roman" w:hAnsi="Times New Roman" w:cs="Times New Roman"/>
          <w:sz w:val="24"/>
          <w:szCs w:val="24"/>
        </w:rPr>
        <w:t>РСФСР</w:t>
      </w:r>
      <w:proofErr w:type="gramEnd"/>
      <w:r w:rsidRPr="006E28B9">
        <w:rPr>
          <w:rFonts w:ascii="Times New Roman" w:hAnsi="Times New Roman" w:cs="Times New Roman"/>
          <w:sz w:val="24"/>
          <w:szCs w:val="24"/>
        </w:rPr>
        <w:t xml:space="preserve"> если договор об отчуждении вещи подлежал регистрации, право собственности возникало в момент регистрации.</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 С 01.01.1995 вступил в силу ГК, в соответствии с которым (в редакции, действовавшей на дату его вступления в силу):</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права на имущество, подлежащие государственной регистрации, возникали с момента регистрации соответствующих прав на него, если иное не было установлено законом (пункт 2 статьи 8);</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 право собственности и другие вещные права на недвижимые вещи, ограничения этих прав, их возникновение, переход и прекращение подлежали государственной регистрации в едином государственном реестре учреждениями юстиции </w:t>
      </w:r>
      <w:r w:rsidRPr="006E28B9">
        <w:rPr>
          <w:rFonts w:ascii="Times New Roman" w:hAnsi="Times New Roman" w:cs="Times New Roman"/>
          <w:sz w:val="24"/>
          <w:szCs w:val="24"/>
        </w:rPr>
        <w:br/>
        <w:t>(пункт 1 статьи 131).</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 Учитывая </w:t>
      </w:r>
      <w:proofErr w:type="gramStart"/>
      <w:r w:rsidRPr="006E28B9">
        <w:rPr>
          <w:rFonts w:ascii="Times New Roman" w:hAnsi="Times New Roman" w:cs="Times New Roman"/>
          <w:sz w:val="24"/>
          <w:szCs w:val="24"/>
        </w:rPr>
        <w:t>вышеизложенное</w:t>
      </w:r>
      <w:proofErr w:type="gramEnd"/>
      <w:r w:rsidRPr="006E28B9">
        <w:rPr>
          <w:rFonts w:ascii="Times New Roman" w:hAnsi="Times New Roman" w:cs="Times New Roman"/>
          <w:sz w:val="24"/>
          <w:szCs w:val="24"/>
        </w:rPr>
        <w:t xml:space="preserve">, а также части 1, 3 статьи 69, пункты 3, 5 части 3 статьи 15 Закона № 218-ФЗ: </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  если нотариально удостоверенный договор купли-продажи квартиры не был зарегистрирован в порядке, установленном законодательством, действовавшим на момент его подписания, право собственности покупателя на квартиру на его основании не возникло, в связи </w:t>
      </w:r>
      <w:proofErr w:type="gramStart"/>
      <w:r w:rsidRPr="006E28B9">
        <w:rPr>
          <w:rFonts w:ascii="Times New Roman" w:hAnsi="Times New Roman" w:cs="Times New Roman"/>
          <w:sz w:val="24"/>
          <w:szCs w:val="24"/>
        </w:rPr>
        <w:t>с</w:t>
      </w:r>
      <w:proofErr w:type="gramEnd"/>
      <w:r w:rsidRPr="006E28B9">
        <w:rPr>
          <w:rFonts w:ascii="Times New Roman" w:hAnsi="Times New Roman" w:cs="Times New Roman"/>
          <w:sz w:val="24"/>
          <w:szCs w:val="24"/>
        </w:rPr>
        <w:t xml:space="preserve"> чем в данном случае применяется общий порядок государственной регистрации прав на недвижимое имущество, установленный Законом № 218-ФЗ;</w:t>
      </w:r>
    </w:p>
    <w:p w:rsidR="003D7055" w:rsidRPr="006E28B9" w:rsidRDefault="003D7055" w:rsidP="006E28B9">
      <w:pPr>
        <w:spacing w:after="0" w:line="23" w:lineRule="atLeast"/>
        <w:ind w:firstLine="325"/>
        <w:jc w:val="both"/>
        <w:rPr>
          <w:rFonts w:ascii="Times New Roman" w:hAnsi="Times New Roman" w:cs="Times New Roman"/>
          <w:sz w:val="24"/>
          <w:szCs w:val="24"/>
        </w:rPr>
      </w:pPr>
      <w:r w:rsidRPr="006E28B9">
        <w:rPr>
          <w:rFonts w:ascii="Times New Roman" w:hAnsi="Times New Roman" w:cs="Times New Roman"/>
          <w:sz w:val="24"/>
          <w:szCs w:val="24"/>
        </w:rPr>
        <w:t xml:space="preserve"> также отмечаем, что в таком случае необходима государственная регистрация ранее возникшего права продавца на квартиру;</w:t>
      </w:r>
    </w:p>
    <w:p w:rsidR="003D7055" w:rsidRPr="006E28B9" w:rsidRDefault="003D7055" w:rsidP="006E28B9">
      <w:pPr>
        <w:spacing w:after="0"/>
        <w:ind w:firstLine="322"/>
        <w:jc w:val="both"/>
        <w:rPr>
          <w:rFonts w:ascii="Times New Roman" w:hAnsi="Times New Roman" w:cs="Times New Roman"/>
          <w:sz w:val="24"/>
          <w:szCs w:val="24"/>
        </w:rPr>
      </w:pPr>
      <w:r w:rsidRPr="006E28B9">
        <w:rPr>
          <w:rFonts w:ascii="Times New Roman" w:hAnsi="Times New Roman" w:cs="Times New Roman"/>
          <w:sz w:val="24"/>
          <w:szCs w:val="24"/>
        </w:rPr>
        <w:t xml:space="preserve"> за осуществлением регистрационных действий на основании нотариально удостоверенного договора купли-продажи квартиры и за государственной регистрацией ранее возникшего права продавца на этот объект недвижимости может обратиться нотариус, удостоверивший данный договор или его работник, уполномоченный в порядке, установленном Основами законодательства Российской Федерации о нотариате.</w:t>
      </w:r>
    </w:p>
    <w:p w:rsidR="003D7055" w:rsidRDefault="003D7055" w:rsidP="006E28B9">
      <w:pPr>
        <w:spacing w:after="0"/>
        <w:ind w:firstLine="322"/>
        <w:jc w:val="both"/>
        <w:rPr>
          <w:rFonts w:ascii="Times New Roman" w:hAnsi="Times New Roman" w:cs="Times New Roman"/>
          <w:sz w:val="24"/>
          <w:szCs w:val="24"/>
        </w:rPr>
      </w:pPr>
    </w:p>
    <w:p w:rsidR="00B16EB2" w:rsidRDefault="00B16EB2" w:rsidP="006E28B9">
      <w:pPr>
        <w:spacing w:after="0"/>
        <w:ind w:firstLine="322"/>
        <w:jc w:val="both"/>
        <w:rPr>
          <w:rFonts w:ascii="Times New Roman" w:hAnsi="Times New Roman" w:cs="Times New Roman"/>
          <w:sz w:val="24"/>
          <w:szCs w:val="24"/>
        </w:rPr>
      </w:pPr>
    </w:p>
    <w:p w:rsidR="00B16EB2" w:rsidRPr="006E28B9" w:rsidRDefault="00B16EB2" w:rsidP="00B16EB2">
      <w:pPr>
        <w:spacing w:after="0"/>
        <w:ind w:firstLine="322"/>
        <w:jc w:val="both"/>
        <w:rPr>
          <w:rFonts w:ascii="Times New Roman" w:hAnsi="Times New Roman" w:cs="Times New Roman"/>
          <w:b/>
          <w:sz w:val="24"/>
          <w:szCs w:val="24"/>
        </w:rPr>
      </w:pPr>
      <w:r>
        <w:rPr>
          <w:rFonts w:ascii="Times New Roman" w:hAnsi="Times New Roman" w:cs="Times New Roman"/>
          <w:b/>
          <w:sz w:val="24"/>
          <w:szCs w:val="24"/>
        </w:rPr>
        <w:t>С Уважением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Межмуниципальный</w:t>
      </w:r>
      <w:proofErr w:type="gramEnd"/>
      <w:r>
        <w:rPr>
          <w:rFonts w:ascii="Times New Roman" w:hAnsi="Times New Roman" w:cs="Times New Roman"/>
          <w:b/>
          <w:sz w:val="24"/>
          <w:szCs w:val="24"/>
        </w:rPr>
        <w:t xml:space="preserve"> Новоа</w:t>
      </w:r>
      <w:r>
        <w:rPr>
          <w:rFonts w:ascii="Times New Roman" w:hAnsi="Times New Roman" w:cs="Times New Roman"/>
          <w:b/>
          <w:sz w:val="24"/>
          <w:szCs w:val="24"/>
        </w:rPr>
        <w:t>л</w:t>
      </w:r>
      <w:bookmarkStart w:id="0" w:name="_GoBack"/>
      <w:bookmarkEnd w:id="0"/>
      <w:r>
        <w:rPr>
          <w:rFonts w:ascii="Times New Roman" w:hAnsi="Times New Roman" w:cs="Times New Roman"/>
          <w:b/>
          <w:sz w:val="24"/>
          <w:szCs w:val="24"/>
        </w:rPr>
        <w:t>тайский отдел</w:t>
      </w:r>
      <w:r>
        <w:rPr>
          <w:rFonts w:ascii="Times New Roman" w:hAnsi="Times New Roman" w:cs="Times New Roman"/>
          <w:b/>
          <w:sz w:val="24"/>
          <w:szCs w:val="24"/>
        </w:rPr>
        <w:t xml:space="preserve"> Управления Росреестра по Алтайскому краю</w:t>
      </w:r>
      <w:r>
        <w:rPr>
          <w:rFonts w:ascii="Times New Roman" w:hAnsi="Times New Roman" w:cs="Times New Roman"/>
          <w:b/>
          <w:sz w:val="24"/>
          <w:szCs w:val="24"/>
        </w:rPr>
        <w:t>.</w:t>
      </w:r>
    </w:p>
    <w:p w:rsidR="00B16EB2" w:rsidRPr="006E28B9" w:rsidRDefault="00B16EB2" w:rsidP="006E28B9">
      <w:pPr>
        <w:spacing w:after="0"/>
        <w:ind w:firstLine="322"/>
        <w:jc w:val="both"/>
        <w:rPr>
          <w:rFonts w:ascii="Times New Roman" w:hAnsi="Times New Roman" w:cs="Times New Roman"/>
          <w:sz w:val="24"/>
          <w:szCs w:val="24"/>
        </w:rPr>
      </w:pPr>
    </w:p>
    <w:sectPr w:rsidR="00B16EB2" w:rsidRPr="006E28B9" w:rsidSect="00B16EB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A5E0D"/>
    <w:rsid w:val="00131E89"/>
    <w:rsid w:val="002B111D"/>
    <w:rsid w:val="003D7055"/>
    <w:rsid w:val="005172BA"/>
    <w:rsid w:val="005E010C"/>
    <w:rsid w:val="005E5610"/>
    <w:rsid w:val="006048B3"/>
    <w:rsid w:val="006E28B9"/>
    <w:rsid w:val="00842836"/>
    <w:rsid w:val="00B16EB2"/>
    <w:rsid w:val="00B6390D"/>
    <w:rsid w:val="00C21AA8"/>
    <w:rsid w:val="00F518D7"/>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16E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B16E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4</cp:revision>
  <dcterms:created xsi:type="dcterms:W3CDTF">2024-08-21T01:49:00Z</dcterms:created>
  <dcterms:modified xsi:type="dcterms:W3CDTF">2024-09-09T01:50:00Z</dcterms:modified>
</cp:coreProperties>
</file>